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 w:val="0"/>
        </w:rPr>
        <w:t>[Ciudad de México], a [día] de [mes] de 2026.</w:t>
      </w:r>
    </w:p>
    <w:p>
      <w:pPr>
        <w:spacing w:after="0"/>
      </w:pPr>
      <w:r>
        <w:rPr>
          <w:b/>
        </w:rPr>
        <w:t>SUPREMA CORTE DE JUSTICIA DE LA NACIÓN</w:t>
      </w:r>
    </w:p>
    <w:p>
      <w:pPr>
        <w:spacing w:after="0"/>
      </w:pPr>
      <w:r>
        <w:rPr>
          <w:b w:val="0"/>
        </w:rPr>
        <w:t>Dirección General de Tecnologías de la Información</w:t>
      </w:r>
    </w:p>
    <w:p>
      <w:pPr>
        <w:spacing w:after="0"/>
      </w:pPr>
      <w:r>
        <w:rPr>
          <w:b w:val="0"/>
        </w:rPr>
        <w:t>Unidad General de Transparencia y Sistematización de la Información Judicial</w:t>
      </w:r>
    </w:p>
    <w:p>
      <w:pPr>
        <w:spacing w:after="360"/>
      </w:pPr>
      <w:r>
        <w:rPr>
          <w:b w:val="0"/>
        </w:rPr>
        <w:t>P r e s e n t e</w:t>
      </w:r>
    </w:p>
    <w:p>
      <w:pPr>
        <w:spacing w:after="280"/>
      </w:pPr>
      <w:r>
        <w:rPr>
          <w:b/>
        </w:rPr>
        <w:t>Asunto: Solicitud de autorización y condiciones de acceso automatizado al Semanario Judicial de la Federación.</w:t>
      </w:r>
    </w:p>
    <w:p>
      <w:pPr>
        <w:spacing w:after="120"/>
      </w:pPr>
      <w:r>
        <w:rPr>
          <w:b w:val="0"/>
        </w:rPr>
        <w:t>[Nombre del representante legal], en mi carácter de representante legal de [Razón social de la empresa], desarrolladora de Habeas Corpus, sistema de gestión para despachos jurídicos en México, señalando como correo electrónico para oír y recibir notificaciones [correo] y como teléfono [teléfono], respetuosamente expongo:</w:t>
      </w:r>
    </w:p>
    <w:p>
      <w:pPr>
        <w:spacing w:after="120"/>
      </w:pPr>
      <w:r>
        <w:rPr>
          <w:b w:val="0"/>
        </w:rPr>
        <w:t>1. Habeas Corpus es una plataforma que ayuda a abogados y despachos a organizar sus asuntos y a consultar las fuentes del derecho mexicano. Como parte de esa consulta, deseamos ofrecer a nuestros usuarios la búsqueda de tesis aisladas y jurisprudencia publicadas en el Semanario Judicial de la Federación, siempre con la cita completa de registro digital, instancia, época y fuente, y con enlace a la publicación oficial de esta Suprema Corte.</w:t>
      </w:r>
    </w:p>
    <w:p>
      <w:pPr>
        <w:spacing w:after="120"/>
      </w:pPr>
      <w:r>
        <w:rPr>
          <w:b w:val="0"/>
        </w:rPr>
        <w:t>2. Sabemos que el Semanario Judicial de la Federación es información pública y que esta Suprema Corte pone a disposición servicios de consulta electrónica. Sin embargo, sus servicios cuentan con mecanismos de protección contra consultas automatizadas, y no encontramos publicadas las condiciones de uso aplicables a la descarga periódica de tesis por medios informáticos. Por ello, antes de realizar cualquier consulta automatizada, preferimos solicitarles autorización y conocer las condiciones que este Alto Tribunal considere adecuadas.</w:t>
      </w:r>
    </w:p>
    <w:p>
      <w:pPr>
        <w:spacing w:after="120"/>
      </w:pPr>
      <w:r>
        <w:rPr>
          <w:b/>
        </w:rPr>
        <w:t>Por lo anterior, atentamente solicito:</w:t>
      </w:r>
    </w:p>
    <w:p>
      <w:pPr>
        <w:spacing w:after="120"/>
      </w:pPr>
      <w:r>
        <w:rPr>
          <w:b w:val="0"/>
        </w:rPr>
        <w:t>a) Se nos informe si existe un servicio web, interfaz de programación (API) o conjunto de datos abiertos oficial para consultar o descargar tesis aisladas, jurisprudencia y sus actualizaciones, así como su documentación.</w:t>
      </w:r>
    </w:p>
    <w:p>
      <w:pPr>
        <w:spacing w:after="120"/>
      </w:pPr>
      <w:r>
        <w:rPr>
          <w:b w:val="0"/>
        </w:rPr>
        <w:t>b) En su caso, se nos autorice su uso y se nos indiquen las condiciones aplicables: límites de frecuencia, horarios recomendados, identificación de las consultas, términos de uso y forma de atribución.</w:t>
      </w:r>
    </w:p>
    <w:p>
      <w:pPr>
        <w:spacing w:after="120"/>
      </w:pPr>
      <w:r>
        <w:rPr>
          <w:b w:val="0"/>
        </w:rPr>
        <w:t>c) Se nos indique, en su caso, el procedimiento para obtener credenciales de acceso o para registrar a nuestra plataforma como usuaria de dichos servicios.</w:t>
      </w:r>
    </w:p>
    <w:p>
      <w:pPr>
        <w:spacing w:after="120"/>
      </w:pPr>
      <w:r>
        <w:rPr>
          <w:b/>
        </w:rPr>
        <w:t>Para dar certeza sobre el uso que daremos a la información, nos comprometemos a:</w:t>
      </w:r>
    </w:p>
    <w:p>
      <w:pPr>
        <w:spacing w:after="120"/>
        <w:ind w:left="340"/>
      </w:pPr>
      <w:r>
        <w:rPr>
          <w:b w:val="0"/>
        </w:rPr>
        <w:t>• Reproducir el texto de las tesis sin alteraciones y con su cita completa y enlace a la fuente oficial.</w:t>
      </w:r>
    </w:p>
    <w:p>
      <w:pPr>
        <w:spacing w:after="120"/>
        <w:ind w:left="340"/>
      </w:pPr>
      <w:r>
        <w:rPr>
          <w:b w:val="0"/>
        </w:rPr>
        <w:t>• Indicar en todo momento que la fuente es el Semanario Judicial de la Federación de la Suprema Corte de Justicia de la Nación.</w:t>
      </w:r>
    </w:p>
    <w:p>
      <w:pPr>
        <w:spacing w:after="120"/>
        <w:ind w:left="340"/>
      </w:pPr>
      <w:r>
        <w:rPr>
          <w:b w:val="0"/>
        </w:rPr>
        <w:t>• Realizar las consultas a baja frecuencia, de preferencia en horarios de menor demanda, e identificarlas con el nombre de nuestra plataforma y un medio de contacto.</w:t>
      </w:r>
    </w:p>
    <w:p>
      <w:pPr>
        <w:spacing w:after="120"/>
        <w:ind w:left="340"/>
      </w:pPr>
      <w:r>
        <w:rPr>
          <w:b w:val="0"/>
        </w:rPr>
        <w:t>• Atender de inmediato cualquier indicación de esta Suprema Corte sobre la forma, frecuencia o suspensión de las consultas.</w:t>
      </w:r>
    </w:p>
    <w:p>
      <w:pPr>
        <w:spacing w:after="280"/>
      </w:pPr>
      <w:r>
        <w:rPr>
          <w:b w:val="0"/>
        </w:rPr>
        <w:t>Lo anterior, con fundamento en el derecho de acceso a la información reconocido en el artículo 6o. de la Constitución Política de los Estados Unidos Mexicanos y en la legislación general de transparencia y acceso a la información pública aplicable.</w:t>
      </w:r>
    </w:p>
    <w:p>
      <w:pPr>
        <w:spacing w:after="600"/>
      </w:pPr>
      <w:r>
        <w:rPr>
          <w:b w:val="0"/>
        </w:rPr>
        <w:t>Agradezco de antemano su atención y quedo a sus órdenes para cualquier aclaración.</w:t>
      </w:r>
    </w:p>
    <w:p>
      <w:pPr>
        <w:spacing w:after="800"/>
        <w:jc w:val="center"/>
      </w:pPr>
      <w:r>
        <w:rPr>
          <w:b w:val="0"/>
        </w:rPr>
        <w:t>Atentamente</w:t>
      </w:r>
    </w:p>
    <w:p>
      <w:pPr>
        <w:spacing w:after="0"/>
        <w:jc w:val="center"/>
      </w:pPr>
      <w:r>
        <w:rPr>
          <w:b w:val="0"/>
        </w:rPr>
        <w:t>_________________________________</w:t>
      </w:r>
    </w:p>
    <w:p>
      <w:pPr>
        <w:spacing w:after="0"/>
        <w:jc w:val="center"/>
      </w:pPr>
      <w:r>
        <w:rPr>
          <w:b w:val="0"/>
        </w:rPr>
        <w:t>[Nombre del representante legal]</w:t>
      </w:r>
    </w:p>
    <w:p>
      <w:pPr>
        <w:spacing w:after="0"/>
        <w:jc w:val="center"/>
      </w:pPr>
      <w:r>
        <w:rPr>
          <w:b w:val="0"/>
        </w:rPr>
        <w:t>[Razón social] · Habeas Corpus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