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Inter" w:hAnsi="Inter"/>
          <w:b/>
          <w:i w:val="0"/>
          <w:color w:val="0B57D0"/>
          <w:sz w:val="52"/>
        </w:rPr>
        <w:t>El Oráculo de los 7</w:t>
      </w:r>
    </w:p>
    <w:p>
      <w:pPr>
        <w:spacing w:after="120"/>
        <w:jc w:val="center"/>
      </w:pPr>
      <w:r>
        <w:rPr>
          <w:rFonts w:ascii="Inter" w:hAnsi="Inter"/>
          <w:b w:val="0"/>
          <w:i/>
          <w:color w:val="70757A"/>
          <w:sz w:val="26"/>
        </w:rPr>
        <w:t>Cómo construir un asesor financiero agéntico desplegado en producción</w:t>
      </w:r>
    </w:p>
    <w:p>
      <w:pPr>
        <w:spacing w:after="800"/>
        <w:jc w:val="center"/>
      </w:pPr>
      <w:r>
        <w:rPr>
          <w:rFonts w:ascii="Inter" w:hAnsi="Inter"/>
          <w:b w:val="0"/>
          <w:i w:val="0"/>
          <w:color w:val="70757A"/>
          <w:sz w:val="20"/>
        </w:rPr>
        <w:t>Junio 2026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Resumen ejecutivo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Este documento describe, en forma compacta y reproducible, el proceso completo para pasar de una necesidad personal de análisis financiero con IA a un producto desplegado en producción que cualquier persona puede consumir vía web — y que con un login encima se convierte en un SaaS monetizable.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La arquitectura central es un consejo de 7 agentes especializados (uno por libro canónico de inversión) coordinados por un agente orquestador. Cada agente evalúa un activo desde su propio marco conceptual; el orquestador sintetiza los veredictos en una recomendación accionable.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Paso 1 — Necesidad y diseño de la arquitectura agéntica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Todo partió de una necesidad concreta: evaluar instrumentos financieros con IA de forma rigurosa y multidimensional. Luego de varias iteraciones, el mejor resultado llegó al combinar múltiples perspectivas de inversión en un único análisis.</w:t>
      </w:r>
    </w:p>
    <w:p>
      <w:pPr>
        <w:spacing w:before="240" w:after="40"/>
      </w:pPr>
      <w:r>
        <w:rPr>
          <w:rFonts w:ascii="Inter" w:hAnsi="Inter"/>
          <w:b/>
          <w:i w:val="0"/>
          <w:color w:val="1A73E8"/>
          <w:sz w:val="23"/>
        </w:rPr>
        <w:t>El enfoque: 7 Skills × 7 Libros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Se creó una skill independiente para cada uno de los 7 libros de inversión más influyentes de la historia:</w:t>
      </w:r>
    </w:p>
    <w:p>
      <w:pPr>
        <w:pStyle w:val="ListBullet"/>
        <w:spacing w:after="40"/>
      </w:pPr>
      <w:r>
        <w:rPr>
          <w:rFonts w:ascii="Inter" w:hAnsi="Inter"/>
          <w:b/>
          <w:i w:val="0"/>
          <w:color w:val="1F1F1F"/>
          <w:sz w:val="21"/>
        </w:rPr>
        <w:t xml:space="preserve">Philip Fisher: </w:t>
      </w:r>
      <w:r>
        <w:rPr>
          <w:rFonts w:ascii="Inter" w:hAnsi="Inter"/>
          <w:b w:val="0"/>
          <w:i w:val="0"/>
          <w:color w:val="444444"/>
          <w:sz w:val="21"/>
        </w:rPr>
        <w:t>Common Stocks &amp; Uncommon Profits — Scuttlebutt, 15 puntos de calidad, crecimiento</w:t>
      </w:r>
    </w:p>
    <w:p>
      <w:pPr>
        <w:pStyle w:val="ListBullet"/>
        <w:spacing w:after="40"/>
      </w:pPr>
      <w:r>
        <w:rPr>
          <w:rFonts w:ascii="Inter" w:hAnsi="Inter"/>
          <w:b/>
          <w:i w:val="0"/>
          <w:color w:val="1F1F1F"/>
          <w:sz w:val="21"/>
        </w:rPr>
        <w:t xml:space="preserve">Benjamin Graham: </w:t>
      </w:r>
      <w:r>
        <w:rPr>
          <w:rFonts w:ascii="Inter" w:hAnsi="Inter"/>
          <w:b w:val="0"/>
          <w:i w:val="0"/>
          <w:color w:val="444444"/>
          <w:sz w:val="21"/>
        </w:rPr>
        <w:t>El Inversor Inteligente — Mr. Market, Margen de Seguridad, perfil defensivo/emprendedor</w:t>
      </w:r>
    </w:p>
    <w:p>
      <w:pPr>
        <w:pStyle w:val="ListBullet"/>
        <w:spacing w:after="40"/>
      </w:pPr>
      <w:r>
        <w:rPr>
          <w:rFonts w:ascii="Inter" w:hAnsi="Inter"/>
          <w:b/>
          <w:i w:val="0"/>
          <w:color w:val="1F1F1F"/>
          <w:sz w:val="21"/>
        </w:rPr>
        <w:t xml:space="preserve">Graham &amp; Dodd: </w:t>
      </w:r>
      <w:r>
        <w:rPr>
          <w:rFonts w:ascii="Inter" w:hAnsi="Inter"/>
          <w:b w:val="0"/>
          <w:i w:val="0"/>
          <w:color w:val="444444"/>
          <w:sz w:val="21"/>
        </w:rPr>
        <w:t>Security Analysis — valor intrínseco, Net-Net, cobertura de cargos fijos</w:t>
      </w:r>
    </w:p>
    <w:p>
      <w:pPr>
        <w:pStyle w:val="ListBullet"/>
        <w:spacing w:after="40"/>
      </w:pPr>
      <w:r>
        <w:rPr>
          <w:rFonts w:ascii="Inter" w:hAnsi="Inter"/>
          <w:b/>
          <w:i w:val="0"/>
          <w:color w:val="1F1F1F"/>
          <w:sz w:val="21"/>
        </w:rPr>
        <w:t xml:space="preserve">Seth Klarman: </w:t>
      </w:r>
      <w:r>
        <w:rPr>
          <w:rFonts w:ascii="Inter" w:hAnsi="Inter"/>
          <w:b w:val="0"/>
          <w:i w:val="0"/>
          <w:color w:val="444444"/>
          <w:sz w:val="21"/>
        </w:rPr>
        <w:t>Margin of Safety — inversión contraria, distressed, brecha precio-valor</w:t>
      </w:r>
    </w:p>
    <w:p>
      <w:pPr>
        <w:pStyle w:val="ListBullet"/>
        <w:spacing w:after="40"/>
      </w:pPr>
      <w:r>
        <w:rPr>
          <w:rFonts w:ascii="Inter" w:hAnsi="Inter"/>
          <w:b/>
          <w:i w:val="0"/>
          <w:color w:val="1F1F1F"/>
          <w:sz w:val="21"/>
        </w:rPr>
        <w:t xml:space="preserve">Peter Lynch: </w:t>
      </w:r>
      <w:r>
        <w:rPr>
          <w:rFonts w:ascii="Inter" w:hAnsi="Inter"/>
          <w:b w:val="0"/>
          <w:i w:val="0"/>
          <w:color w:val="444444"/>
          <w:sz w:val="21"/>
        </w:rPr>
        <w:t>Un Paso por Delante — 6 categorías, PEG ratio, 2-Minute Drill</w:t>
      </w:r>
    </w:p>
    <w:p>
      <w:pPr>
        <w:pStyle w:val="ListBullet"/>
        <w:spacing w:after="40"/>
      </w:pPr>
      <w:r>
        <w:rPr>
          <w:rFonts w:ascii="Inter" w:hAnsi="Inter"/>
          <w:b/>
          <w:i w:val="0"/>
          <w:color w:val="1F1F1F"/>
          <w:sz w:val="21"/>
        </w:rPr>
        <w:t xml:space="preserve">Howard Marks: </w:t>
      </w:r>
      <w:r>
        <w:rPr>
          <w:rFonts w:ascii="Inter" w:hAnsi="Inter"/>
          <w:b w:val="0"/>
          <w:i w:val="0"/>
          <w:color w:val="444444"/>
          <w:sz w:val="21"/>
        </w:rPr>
        <w:t>The Most Important Thing — ciclos, riesgo asimétrico, pensamiento de segundo nivel</w:t>
      </w:r>
    </w:p>
    <w:p>
      <w:pPr>
        <w:pStyle w:val="ListBullet"/>
        <w:spacing w:after="40"/>
      </w:pPr>
      <w:r>
        <w:rPr>
          <w:rFonts w:ascii="Inter" w:hAnsi="Inter"/>
          <w:b/>
          <w:i w:val="0"/>
          <w:color w:val="1F1F1F"/>
          <w:sz w:val="21"/>
        </w:rPr>
        <w:t xml:space="preserve">William Thorndike: </w:t>
      </w:r>
      <w:r>
        <w:rPr>
          <w:rFonts w:ascii="Inter" w:hAnsi="Inter"/>
          <w:b w:val="0"/>
          <w:i w:val="0"/>
          <w:color w:val="444444"/>
          <w:sz w:val="21"/>
        </w:rPr>
        <w:t>The Outsiders — asignación de capital, recompras, CEOs extraordinarios</w:t>
      </w:r>
    </w:p>
    <w:p>
      <w:pPr>
        <w:spacing w:before="240" w:after="40"/>
      </w:pPr>
      <w:r>
        <w:rPr>
          <w:rFonts w:ascii="Inter" w:hAnsi="Inter"/>
          <w:b/>
          <w:i w:val="0"/>
          <w:color w:val="1A73E8"/>
          <w:sz w:val="23"/>
        </w:rPr>
        <w:t>El agente orquestador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Sobre las 7 skills se construyó un agente orquestador ("Council of 7") que: (1) normaliza los datos de mercado en una Capa 0 (precio spot, ATH, drawdown, ciclo), (2) hace hablar a cada experto con su propio marco y su propia voz, (3) detecta consensos y divergencias, y (4) emite una síntesis ejecutiva con veredicto, tamaño de posición y nivel de entrada.</w:t>
      </w:r>
    </w:p>
    <w:p>
      <w:pPr>
        <w:spacing w:after="80"/>
      </w:pPr>
      <w:r>
        <w:rPr>
          <w:rFonts w:ascii="Inter" w:hAnsi="Inter"/>
          <w:b w:val="0"/>
          <w:i w:val="0"/>
          <w:color w:val="70757A"/>
          <w:sz w:val="21"/>
        </w:rPr>
        <w:t>En esta etapa, el sistema vivía en Claude (Projects) y se usaba manualmente ante cada consulta. Ya demostraba que la arquitectura multi-skill era superior a un único prompt monolítico.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Paso 1.5 — Configuración de las 7 skills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Antes de avanzar con el código, necesitás preparar el conocimiento especializado que los agentes consultarán.</w:t>
      </w:r>
    </w:p>
    <w:p>
      <w:pPr>
        <w:spacing w:before="240" w:after="40"/>
      </w:pPr>
      <w:r>
        <w:rPr>
          <w:rFonts w:ascii="Inter" w:hAnsi="Inter"/>
          <w:b/>
          <w:i w:val="0"/>
          <w:color w:val="1A73E8"/>
          <w:sz w:val="23"/>
        </w:rPr>
        <w:t>Instrucción para generar y guardar las skills:</w:t>
      </w:r>
    </w:p>
    <w:p>
      <w:pPr>
        <w:spacing w:after="80"/>
      </w:pPr>
      <w:r>
        <w:rPr>
          <w:rFonts w:ascii="Inter" w:hAnsi="Inter"/>
          <w:b w:val="0"/>
          <w:i w:val="0"/>
          <w:color w:val="0B57D0"/>
          <w:sz w:val="21"/>
        </w:rPr>
        <w:t>"Para cada libro, subile el PDF a Claude y pedile que extraiga los frameworks clave en un archivo SKILL.md. Guardá cada uno en extracted_skills/[nombre-del-libro]/SKILL.md. También creá la skill orquestadora extracted_skills/council-of-7-investors/SKILL.md con el protocolo del Council."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Paso 2 — Preparar la infraestructura (cuentas y tokens)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Para pasar de un chat manual a un producto web desplegado, se requiere un conjunto mínimo de cuentas y credenciales. Todas son gratuitas en su tier básico.</w:t>
      </w:r>
    </w:p>
    <w:p>
      <w:pPr>
        <w:spacing w:after="60"/>
      </w:pPr>
      <w:r>
        <w:rPr>
          <w:rFonts w:ascii="Inter" w:hAnsi="Inter"/>
          <w:b/>
          <w:i w:val="0"/>
          <w:color w:val="1A73E8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GitHub: </w:t>
      </w:r>
      <w:r>
        <w:rPr>
          <w:rFonts w:ascii="Inter" w:hAnsi="Inter"/>
          <w:b w:val="0"/>
          <w:i w:val="0"/>
          <w:color w:val="444444"/>
          <w:sz w:val="21"/>
        </w:rPr>
        <w:t>Crear cuenta y repositorio. Generar un Personal Access Token (PAT) con permisos de repo para que Vercel pueda hacer deploy desde el repositorio.</w:t>
      </w:r>
    </w:p>
    <w:p>
      <w:pPr>
        <w:spacing w:after="60"/>
      </w:pPr>
      <w:r>
        <w:rPr>
          <w:rFonts w:ascii="Inter" w:hAnsi="Inter"/>
          <w:b/>
          <w:i w:val="0"/>
          <w:color w:val="1A73E8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Vercel: </w:t>
      </w:r>
      <w:r>
        <w:rPr>
          <w:rFonts w:ascii="Inter" w:hAnsi="Inter"/>
          <w:b w:val="0"/>
          <w:i w:val="0"/>
          <w:color w:val="444444"/>
          <w:sz w:val="21"/>
        </w:rPr>
        <w:t>Crear cuenta y vincular con GitHub. Vercel detecta el repositorio y despliega automáticamente en cada push a main.</w:t>
      </w:r>
    </w:p>
    <w:p>
      <w:pPr>
        <w:spacing w:after="60"/>
      </w:pPr>
      <w:r>
        <w:rPr>
          <w:rFonts w:ascii="Inter" w:hAnsi="Inter"/>
          <w:b/>
          <w:i w:val="0"/>
          <w:color w:val="1A73E8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Anthropic: </w:t>
      </w:r>
      <w:r>
        <w:rPr>
          <w:rFonts w:ascii="Inter" w:hAnsi="Inter"/>
          <w:b w:val="0"/>
          <w:i w:val="0"/>
          <w:color w:val="444444"/>
          <w:sz w:val="21"/>
        </w:rPr>
        <w:t>Obtener la API Key de Anthropic (console.anthropic.com). Es el cerebro principal del sistema (Claude Sonnet 4.6).</w:t>
      </w:r>
    </w:p>
    <w:p>
      <w:pPr>
        <w:spacing w:after="60"/>
      </w:pPr>
      <w:r>
        <w:rPr>
          <w:rFonts w:ascii="Inter" w:hAnsi="Inter"/>
          <w:b/>
          <w:i w:val="0"/>
          <w:color w:val="1A73E8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Google AI Studio: </w:t>
      </w:r>
      <w:r>
        <w:rPr>
          <w:rFonts w:ascii="Inter" w:hAnsi="Inter"/>
          <w:b w:val="0"/>
          <w:i w:val="0"/>
          <w:color w:val="444444"/>
          <w:sz w:val="21"/>
        </w:rPr>
        <w:t>Obtener la API Key de Gemini (gemini-2.5-flash) en aistudio.google.com. Funciona como fallback del sistema.</w:t>
      </w:r>
    </w:p>
    <w:p>
      <w:pPr>
        <w:spacing w:after="60"/>
      </w:pPr>
      <w:r>
        <w:rPr>
          <w:rFonts w:ascii="Inter" w:hAnsi="Inter"/>
          <w:b/>
          <w:i w:val="0"/>
          <w:color w:val="1A73E8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Serper API: </w:t>
      </w:r>
      <w:r>
        <w:rPr>
          <w:rFonts w:ascii="Inter" w:hAnsi="Inter"/>
          <w:b w:val="0"/>
          <w:i w:val="0"/>
          <w:color w:val="444444"/>
          <w:sz w:val="21"/>
        </w:rPr>
        <w:t>API de búsqueda Google (google.serper.dev). Prioridad 1 para cotizaciones y contexto macro: rápido y preciso.</w:t>
      </w:r>
    </w:p>
    <w:p>
      <w:pPr>
        <w:spacing w:after="60"/>
      </w:pPr>
      <w:r>
        <w:rPr>
          <w:rFonts w:ascii="Inter" w:hAnsi="Inter"/>
          <w:b/>
          <w:i w:val="0"/>
          <w:color w:val="1A73E8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Firecrawl: </w:t>
      </w:r>
      <w:r>
        <w:rPr>
          <w:rFonts w:ascii="Inter" w:hAnsi="Inter"/>
          <w:b w:val="0"/>
          <w:i w:val="0"/>
          <w:color w:val="444444"/>
          <w:sz w:val="21"/>
        </w:rPr>
        <w:t>API de web scraping profundo (api.firecrawl.dev). Prioridad 2 cuando Serper no trae contenido suficiente. Tiene documentación específica para que la IA lo integre correctamente.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Paso 3 — Construir el frontend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El frontend es un único archivo HTML autocontenido (`buscador_de_inversiones.html`) que imita la estética minimalista de Google Search, con una transición fluida al modo chat.</w:t>
      </w:r>
    </w:p>
    <w:p>
      <w:pPr>
        <w:spacing w:before="240" w:after="40"/>
      </w:pPr>
      <w:r>
        <w:rPr>
          <w:rFonts w:ascii="Inter" w:hAnsi="Inter"/>
          <w:b/>
          <w:i w:val="0"/>
          <w:color w:val="1A73E8"/>
          <w:sz w:val="23"/>
        </w:rPr>
        <w:t>Herramientas utilizadas (cualquiera sirve)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Google AI Studio Canvas / Gemini Canvas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Claude Design / Claude Code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Lovable, v0 (Vercel) o ChatGPT Canvas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Antigravity (para set-up inicial y scaffolding)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Cursor (para ajustes finos de CSS/JS)</w:t>
      </w:r>
    </w:p>
    <w:p>
      <w:pPr>
        <w:spacing w:before="240" w:after="40"/>
      </w:pPr>
      <w:r>
        <w:rPr>
          <w:rFonts w:ascii="Inter" w:hAnsi="Inter"/>
          <w:b/>
          <w:i w:val="0"/>
          <w:color w:val="1A73E8"/>
          <w:sz w:val="23"/>
        </w:rPr>
        <w:t>Características clave del frontend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Estado Home (barra de búsqueda centrada estilo Google) → Estado Chat (barra fija superior + input inferior).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Renderizado de Markdown con marked.js: tablas, bloques de código con botón 'Copiar', citas con borde azul.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Animación de 'agente pensando': punto pulsante + texto que simula las fases de análisis en tiempo real.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Botón Stop (AbortController) para cancelar respuestas largas.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Persistencia en localStorage: el chat sobrevive recargas.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Botón 'Pregunta al azar' con banco de consultas sobre finanzas argentinas y globales.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Responsivo y adaptado a móviles.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Paso 4 — Construir el backend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El backend es una función serverless de Python (`api/chat.py`) que Vercel ejecuta en cada llamada POST a `/api/chat`. Se desarrolló cargando el HTML del frontend a Antigravity o Claude Code y pidiendo que construyera el backend compatible con esa interfaz.</w:t>
      </w:r>
    </w:p>
    <w:p>
      <w:pPr>
        <w:spacing w:before="240" w:after="40"/>
      </w:pPr>
      <w:r>
        <w:rPr>
          <w:rFonts w:ascii="Inter" w:hAnsi="Inter"/>
          <w:b/>
          <w:i w:val="0"/>
          <w:color w:val="1A73E8"/>
          <w:sz w:val="23"/>
        </w:rPr>
        <w:t>Flujo de una petición</w:t>
      </w:r>
    </w:p>
    <w:p>
      <w:pPr>
        <w:spacing w:after="60"/>
        <w:ind w:left="360"/>
      </w:pPr>
      <w:r>
        <w:rPr>
          <w:rFonts w:ascii="Inter" w:hAnsi="Inter"/>
          <w:b/>
          <w:i w:val="0"/>
          <w:color w:val="1A73E8"/>
          <w:sz w:val="21"/>
        </w:rPr>
        <w:t xml:space="preserve">1. </w:t>
      </w:r>
      <w:r>
        <w:rPr>
          <w:rFonts w:ascii="Inter" w:hAnsi="Inter"/>
          <w:b w:val="0"/>
          <w:i w:val="0"/>
          <w:color w:val="1F1F1F"/>
          <w:sz w:val="21"/>
        </w:rPr>
        <w:t>El frontend envía el historial de mensajes al endpoint /api/chat.</w:t>
      </w:r>
    </w:p>
    <w:p>
      <w:pPr>
        <w:spacing w:after="60"/>
        <w:ind w:left="360"/>
      </w:pPr>
      <w:r>
        <w:rPr>
          <w:rFonts w:ascii="Inter" w:hAnsi="Inter"/>
          <w:b/>
          <w:i w:val="0"/>
          <w:color w:val="1A73E8"/>
          <w:sz w:val="21"/>
        </w:rPr>
        <w:t xml:space="preserve">2. </w:t>
      </w:r>
      <w:r>
        <w:rPr>
          <w:rFonts w:ascii="Inter" w:hAnsi="Inter"/>
          <w:b w:val="0"/>
          <w:i w:val="0"/>
          <w:color w:val="1F1F1F"/>
          <w:sz w:val="21"/>
        </w:rPr>
        <w:t>El backend carga las 7 skills desde el directorio extracted_skills/ (SKILL.md, cheatsheet, patterns, glossary).</w:t>
      </w:r>
    </w:p>
    <w:p>
      <w:pPr>
        <w:spacing w:after="60"/>
        <w:ind w:left="360"/>
      </w:pPr>
      <w:r>
        <w:rPr>
          <w:rFonts w:ascii="Inter" w:hAnsi="Inter"/>
          <w:b/>
          <w:i w:val="0"/>
          <w:color w:val="1A73E8"/>
          <w:sz w:val="21"/>
        </w:rPr>
        <w:t xml:space="preserve">3. </w:t>
      </w:r>
      <w:r>
        <w:rPr>
          <w:rFonts w:ascii="Inter" w:hAnsi="Inter"/>
          <w:b w:val="0"/>
          <w:i w:val="0"/>
          <w:color w:val="1F1F1F"/>
          <w:sz w:val="21"/>
        </w:rPr>
        <w:t>Se invoca Claude Sonnet 4.6 (cerebro principal) o Gemini 2.5 Flash (fallback) con el system prompt completo (orquestador + contexto argentino) y la herramienta search_web.</w:t>
      </w:r>
    </w:p>
    <w:p>
      <w:pPr>
        <w:spacing w:after="60"/>
        <w:ind w:left="360"/>
      </w:pPr>
      <w:r>
        <w:rPr>
          <w:rFonts w:ascii="Inter" w:hAnsi="Inter"/>
          <w:b/>
          <w:i w:val="0"/>
          <w:color w:val="1A73E8"/>
          <w:sz w:val="21"/>
        </w:rPr>
        <w:t xml:space="preserve">4. </w:t>
      </w:r>
      <w:r>
        <w:rPr>
          <w:rFonts w:ascii="Inter" w:hAnsi="Inter"/>
          <w:b w:val="0"/>
          <w:i w:val="0"/>
          <w:color w:val="1F1F1F"/>
          <w:sz w:val="21"/>
        </w:rPr>
        <w:t>Cuando Gemini llama a search_web, el backend intenta Serper primero; si falla, cae a Firecrawl.</w:t>
      </w:r>
    </w:p>
    <w:p>
      <w:pPr>
        <w:spacing w:after="60"/>
        <w:ind w:left="360"/>
      </w:pPr>
      <w:r>
        <w:rPr>
          <w:rFonts w:ascii="Inter" w:hAnsi="Inter"/>
          <w:b/>
          <w:i w:val="0"/>
          <w:color w:val="1A73E8"/>
          <w:sz w:val="21"/>
        </w:rPr>
        <w:t xml:space="preserve">5. </w:t>
      </w:r>
      <w:r>
        <w:rPr>
          <w:rFonts w:ascii="Inter" w:hAnsi="Inter"/>
          <w:b w:val="0"/>
          <w:i w:val="0"/>
          <w:color w:val="1F1F1F"/>
          <w:sz w:val="21"/>
        </w:rPr>
        <w:t>La respuesta final (texto + metadatos de búsqueda) se devuelve al frontend como JSON.</w:t>
      </w:r>
    </w:p>
    <w:p>
      <w:pPr>
        <w:spacing w:before="240" w:after="40"/>
      </w:pPr>
      <w:r>
        <w:rPr>
          <w:rFonts w:ascii="Inter" w:hAnsi="Inter"/>
          <w:b/>
          <w:i w:val="0"/>
          <w:color w:val="1A73E8"/>
          <w:sz w:val="23"/>
        </w:rPr>
        <w:t>Estructura del repositorio</w:t>
      </w:r>
    </w:p>
    <w:p>
      <w:pPr>
        <w:spacing w:after="40"/>
        <w:ind w:left="432"/>
      </w:pPr>
      <w:r>
        <w:rPr>
          <w:rFonts w:ascii="Courier New" w:hAnsi="Courier New"/>
          <w:color w:val="444444"/>
          <w:sz w:val="19"/>
        </w:rPr>
        <w:t>buscador_de_inversiones.html   ← Frontend completo</w:t>
      </w:r>
    </w:p>
    <w:p>
      <w:pPr>
        <w:spacing w:after="40"/>
        <w:ind w:left="432"/>
      </w:pPr>
      <w:r>
        <w:rPr>
          <w:rFonts w:ascii="Courier New" w:hAnsi="Courier New"/>
          <w:color w:val="444444"/>
          <w:sz w:val="19"/>
        </w:rPr>
        <w:t>api/chat.py                    ← Función serverless (Vercel)</w:t>
      </w:r>
    </w:p>
    <w:p>
      <w:pPr>
        <w:spacing w:after="40"/>
        <w:ind w:left="432"/>
      </w:pPr>
      <w:r>
        <w:rPr>
          <w:rFonts w:ascii="Courier New" w:hAnsi="Courier New"/>
          <w:color w:val="444444"/>
          <w:sz w:val="19"/>
        </w:rPr>
        <w:t>server.py                      ← Servidor Flask para desarrollo local</w:t>
      </w:r>
    </w:p>
    <w:p>
      <w:pPr>
        <w:spacing w:after="40"/>
        <w:ind w:left="432"/>
      </w:pPr>
      <w:r>
        <w:rPr>
          <w:rFonts w:ascii="Courier New" w:hAnsi="Courier New"/>
          <w:color w:val="444444"/>
          <w:sz w:val="19"/>
        </w:rPr>
        <w:t>extracted_skills/              ← Las 7 skills en Markdown</w:t>
      </w:r>
    </w:p>
    <w:p>
      <w:pPr>
        <w:spacing w:after="40"/>
        <w:ind w:left="432"/>
      </w:pPr>
      <w:r>
        <w:rPr>
          <w:rFonts w:ascii="Courier New" w:hAnsi="Courier New"/>
          <w:color w:val="444444"/>
          <w:sz w:val="19"/>
        </w:rPr>
        <w:t>vercel.json                    ← Configuración de rutas y funciones</w:t>
      </w:r>
    </w:p>
    <w:p>
      <w:pPr>
        <w:spacing w:after="40"/>
        <w:ind w:left="432"/>
      </w:pPr>
      <w:r>
        <w:rPr>
          <w:rFonts w:ascii="Courier New" w:hAnsi="Courier New"/>
          <w:color w:val="444444"/>
          <w:sz w:val="19"/>
        </w:rPr>
        <w:t>requirements.txt               ← Flask, Requests, python-dotenv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Paso 5 — Configurar variables de entorno en Vercel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Las credenciales nunca se hardcodean en el código. Se cargan como variables de entorno en el panel de Vercel (Settings → Environment Variables):</w:t>
      </w:r>
    </w:p>
    <w:p>
      <w:pPr>
        <w:spacing w:after="60"/>
        <w:ind w:left="360"/>
      </w:pPr>
      <w:r>
        <w:rPr>
          <w:rFonts w:ascii="Courier New" w:hAnsi="Courier New"/>
          <w:b/>
          <w:color w:val="1A7A36"/>
          <w:sz w:val="20"/>
        </w:rPr>
        <w:t xml:space="preserve">ANTHROPIC_API_KEY  </w:t>
      </w:r>
      <w:r>
        <w:rPr>
          <w:rFonts w:ascii="Inter" w:hAnsi="Inter"/>
          <w:b w:val="0"/>
          <w:i w:val="0"/>
          <w:color w:val="444444"/>
          <w:sz w:val="20"/>
        </w:rPr>
        <w:t>— API Key de Anthropic. Cerebro principal (Claude Sonnet 4.6).</w:t>
      </w:r>
    </w:p>
    <w:p>
      <w:pPr>
        <w:spacing w:after="60"/>
        <w:ind w:left="360"/>
      </w:pPr>
      <w:r>
        <w:rPr>
          <w:rFonts w:ascii="Courier New" w:hAnsi="Courier New"/>
          <w:b/>
          <w:color w:val="1A7A36"/>
          <w:sz w:val="20"/>
        </w:rPr>
        <w:t xml:space="preserve">GEMINI_API_KEY  </w:t>
      </w:r>
      <w:r>
        <w:rPr>
          <w:rFonts w:ascii="Inter" w:hAnsi="Inter"/>
          <w:b w:val="0"/>
          <w:i w:val="0"/>
          <w:color w:val="444444"/>
          <w:sz w:val="20"/>
        </w:rPr>
        <w:t>— API Key de Google AI Studio. Fallback del sistema (Gemini 2.5 Flash).</w:t>
      </w:r>
    </w:p>
    <w:p>
      <w:pPr>
        <w:spacing w:after="60"/>
        <w:ind w:left="360"/>
      </w:pPr>
      <w:r>
        <w:rPr>
          <w:rFonts w:ascii="Courier New" w:hAnsi="Courier New"/>
          <w:b/>
          <w:color w:val="1A7A36"/>
          <w:sz w:val="20"/>
        </w:rPr>
        <w:t xml:space="preserve">SERPER_API_KEY  </w:t>
      </w:r>
      <w:r>
        <w:rPr>
          <w:rFonts w:ascii="Inter" w:hAnsi="Inter"/>
          <w:b w:val="0"/>
          <w:i w:val="0"/>
          <w:color w:val="444444"/>
          <w:sz w:val="20"/>
        </w:rPr>
        <w:t>— API Key de Serper. Buscador Google para cotizaciones y noticias.</w:t>
      </w:r>
    </w:p>
    <w:p>
      <w:pPr>
        <w:spacing w:after="60"/>
        <w:ind w:left="360"/>
      </w:pPr>
      <w:r>
        <w:rPr>
          <w:rFonts w:ascii="Courier New" w:hAnsi="Courier New"/>
          <w:b/>
          <w:color w:val="1A7A36"/>
          <w:sz w:val="20"/>
        </w:rPr>
        <w:t xml:space="preserve">FIRECRAWL_API_KEY  </w:t>
      </w:r>
      <w:r>
        <w:rPr>
          <w:rFonts w:ascii="Inter" w:hAnsi="Inter"/>
          <w:b w:val="0"/>
          <w:i w:val="0"/>
          <w:color w:val="444444"/>
          <w:sz w:val="20"/>
        </w:rPr>
        <w:t>— API Key de Firecrawl. Web scraping profundo como fallback.</w:t>
      </w:r>
    </w:p>
    <w:p>
      <w:pPr>
        <w:spacing w:after="80"/>
      </w:pPr>
      <w:r>
        <w:rPr>
          <w:rFonts w:ascii="Inter" w:hAnsi="Inter"/>
          <w:b w:val="0"/>
          <w:i w:val="0"/>
          <w:color w:val="70757A"/>
          <w:sz w:val="21"/>
        </w:rPr>
        <w:t>Con las variables en su lugar, cada push a la rama main de GitHub dispara un nuevo deploy automático en Vercel en menos de 60 segundos.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Paso 6 — Iterar hasta que funcione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Una vez desplegado, el ciclo de ajuste es: probar → identificar el problema → corregir el código con Claude Code o Antigravity → push → nuevo deploy automático en Vercel → repetir.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Timeout en Vercel (60 s max): optimizar las llamadas a búsqueda o reducir el número de resultados.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Firecrawl vs. Serper: ajustar el orden de fallback según disponibilidad y costos de cada API.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Prompt del orquestador: afinar el nivel de detalle del análisis, el idioma (español rioplatense), y las reglas de coherencia de datos.</w:t>
      </w:r>
    </w:p>
    <w:p>
      <w:pPr>
        <w:pStyle w:val="ListBullet"/>
        <w:spacing w:after="40"/>
        <w:ind w:left="360"/>
      </w:pPr>
      <w:r>
        <w:rPr>
          <w:rFonts w:ascii="Inter" w:hAnsi="Inter"/>
          <w:b w:val="0"/>
          <w:i w:val="0"/>
          <w:color w:val="1F1F1F"/>
          <w:sz w:val="21"/>
        </w:rPr>
        <w:t>UX del frontend: ajustar la animación del agente, los estilos de las tablas financieras, y el layout en móviles.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Escalabilidad y casos de uso de la arquitectura</w:t>
      </w:r>
    </w:p>
    <w:p>
      <w:pPr>
        <w:spacing w:after="80"/>
      </w:pPr>
      <w:r>
        <w:rPr>
          <w:rFonts w:ascii="Inter" w:hAnsi="Inter"/>
          <w:b w:val="0"/>
          <w:i w:val="0"/>
          <w:color w:val="1F1F1F"/>
          <w:sz w:val="21"/>
        </w:rPr>
        <w:t>La misma arquitectura (N skills especializadas + orquestador + frontend minimalista + backend serverless) se puede reutilizar en múltiples contextos sin cambiar la estructura central:</w:t>
      </w:r>
    </w:p>
    <w:p>
      <w:pPr>
        <w:spacing w:after="60"/>
      </w:pPr>
      <w:r>
        <w:rPr>
          <w:rFonts w:ascii="Inter" w:hAnsi="Inter"/>
          <w:b/>
          <w:i w:val="0"/>
          <w:color w:val="1A7A36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Uso personal: </w:t>
      </w:r>
      <w:r>
        <w:rPr>
          <w:rFonts w:ascii="Inter" w:hAnsi="Inter"/>
          <w:b w:val="0"/>
          <w:i w:val="0"/>
          <w:color w:val="444444"/>
          <w:sz w:val="21"/>
        </w:rPr>
        <w:t>Tal cual está: acceso abierto para análisis de inversiones propias.</w:t>
      </w:r>
    </w:p>
    <w:p>
      <w:pPr>
        <w:spacing w:after="60"/>
      </w:pPr>
      <w:r>
        <w:rPr>
          <w:rFonts w:ascii="Inter" w:hAnsi="Inter"/>
          <w:b/>
          <w:i w:val="0"/>
          <w:color w:val="1A7A36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Equipo de trabajo: </w:t>
      </w:r>
      <w:r>
        <w:rPr>
          <w:rFonts w:ascii="Inter" w:hAnsi="Inter"/>
          <w:b w:val="0"/>
          <w:i w:val="0"/>
          <w:color w:val="444444"/>
          <w:sz w:val="21"/>
        </w:rPr>
        <w:t>Reemplazar las 7 skills de inversión por playbooks, SOPs o conocimiento de la empresa.</w:t>
      </w:r>
    </w:p>
    <w:p>
      <w:pPr>
        <w:spacing w:after="60"/>
      </w:pPr>
      <w:r>
        <w:rPr>
          <w:rFonts w:ascii="Inter" w:hAnsi="Inter"/>
          <w:b/>
          <w:i w:val="0"/>
          <w:color w:val="1A7A36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Producto para clientes: </w:t>
      </w:r>
      <w:r>
        <w:rPr>
          <w:rFonts w:ascii="Inter" w:hAnsi="Inter"/>
          <w:b w:val="0"/>
          <w:i w:val="0"/>
          <w:color w:val="444444"/>
          <w:sz w:val="21"/>
        </w:rPr>
        <w:t>Agregar un sistema de login (Clerk, Auth0, NextAuth) encima del HTML existente.</w:t>
      </w:r>
    </w:p>
    <w:p>
      <w:pPr>
        <w:spacing w:after="60"/>
      </w:pPr>
      <w:r>
        <w:rPr>
          <w:rFonts w:ascii="Inter" w:hAnsi="Inter"/>
          <w:b/>
          <w:i w:val="0"/>
          <w:color w:val="1A7A36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SaaS monetizable: </w:t>
      </w:r>
      <w:r>
        <w:rPr>
          <w:rFonts w:ascii="Inter" w:hAnsi="Inter"/>
          <w:b w:val="0"/>
          <w:i w:val="0"/>
          <w:color w:val="444444"/>
          <w:sz w:val="21"/>
        </w:rPr>
        <w:t>Integrar Stripe + límites de uso por plan sobre la misma base de código.</w:t>
      </w:r>
    </w:p>
    <w:p>
      <w:pPr>
        <w:spacing w:after="60"/>
      </w:pPr>
      <w:r>
        <w:rPr>
          <w:rFonts w:ascii="Inter" w:hAnsi="Inter"/>
          <w:b/>
          <w:i w:val="0"/>
          <w:color w:val="1A7A36"/>
          <w:sz w:val="21"/>
        </w:rPr>
        <w:t xml:space="preserve">► </w:t>
      </w:r>
      <w:r>
        <w:rPr>
          <w:rFonts w:ascii="Inter" w:hAnsi="Inter"/>
          <w:b/>
          <w:i w:val="0"/>
          <w:color w:val="1F1F1F"/>
          <w:sz w:val="21"/>
        </w:rPr>
        <w:t xml:space="preserve">Vertical diferente: </w:t>
      </w:r>
      <w:r>
        <w:rPr>
          <w:rFonts w:ascii="Inter" w:hAnsi="Inter"/>
          <w:b w:val="0"/>
          <w:i w:val="0"/>
          <w:color w:val="444444"/>
          <w:sz w:val="21"/>
        </w:rPr>
        <w:t>Cambiar los libros por cualquier otro dominio: medicina, legal, marketing, RRHH.</w:t>
      </w:r>
    </w:p>
    <w:p>
      <w:pPr>
        <w:pBdr>
          <w:bottom w:val="single" w:sz="4" w:space="1" w:color="C0C0C0"/>
        </w:pBdr>
        <w:spacing w:after="160"/>
      </w:pPr>
    </w:p>
    <w:p>
      <w:pPr>
        <w:spacing w:before="360" w:after="80"/>
      </w:pPr>
      <w:r>
        <w:rPr>
          <w:rFonts w:ascii="Inter" w:hAnsi="Inter"/>
          <w:b/>
          <w:i w:val="0"/>
          <w:color w:val="0B57D0"/>
          <w:sz w:val="30"/>
        </w:rPr>
        <w:t>Stack tecnológico resumido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color w:val="0B57D0"/>
                <w:sz w:val="20"/>
              </w:rPr>
              <w:t>Capa</w:t>
            </w:r>
          </w:p>
        </w:tc>
        <w:tc>
          <w:tcPr>
            <w:tcW w:type="dxa" w:w="4419"/>
          </w:tcPr>
          <w:p>
            <w:r>
              <w:rPr>
                <w:b/>
                <w:color w:val="0B57D0"/>
                <w:sz w:val="20"/>
              </w:rPr>
              <w:t>Tecnología</w:t>
            </w:r>
          </w:p>
        </w:tc>
      </w:tr>
      <w:tr>
        <w:tc>
          <w:tcPr>
            <w:tcW w:type="dxa" w:w="4419"/>
          </w:tcPr>
          <w:p>
            <w:r>
              <w:rPr>
                <w:color w:val="1F1F1F"/>
                <w:sz w:val="20"/>
              </w:rPr>
              <w:t>Frontend</w:t>
            </w:r>
          </w:p>
        </w:tc>
        <w:tc>
          <w:tcPr>
            <w:tcW w:type="dxa" w:w="4419"/>
          </w:tcPr>
          <w:p>
            <w:r>
              <w:rPr>
                <w:color w:val="444444"/>
                <w:sz w:val="20"/>
              </w:rPr>
              <w:t>HTML + Tailwind CSS + Vanilla JS + marked.js</w:t>
            </w:r>
          </w:p>
        </w:tc>
      </w:tr>
      <w:tr>
        <w:tc>
          <w:tcPr>
            <w:tcW w:type="dxa" w:w="4419"/>
          </w:tcPr>
          <w:p>
            <w:r>
              <w:rPr>
                <w:color w:val="1F1F1F"/>
                <w:sz w:val="20"/>
              </w:rPr>
              <w:t>Backend</w:t>
            </w:r>
          </w:p>
        </w:tc>
        <w:tc>
          <w:tcPr>
            <w:tcW w:type="dxa" w:w="4419"/>
          </w:tcPr>
          <w:p>
            <w:r>
              <w:rPr>
                <w:color w:val="444444"/>
                <w:sz w:val="20"/>
              </w:rPr>
              <w:t>Python (Flask/Vercel Serverless)</w:t>
            </w:r>
          </w:p>
        </w:tc>
      </w:tr>
      <w:tr>
        <w:tc>
          <w:tcPr>
            <w:tcW w:type="dxa" w:w="4419"/>
          </w:tcPr>
          <w:p>
            <w:r>
              <w:rPr>
                <w:color w:val="1F1F1F"/>
                <w:sz w:val="20"/>
              </w:rPr>
              <w:t>LLM</w:t>
            </w:r>
          </w:p>
        </w:tc>
        <w:tc>
          <w:tcPr>
            <w:tcW w:type="dxa" w:w="4419"/>
          </w:tcPr>
          <w:p>
            <w:r>
              <w:rPr>
                <w:color w:val="444444"/>
                <w:sz w:val="20"/>
              </w:rPr>
              <w:t>Claude Sonnet 4.6 (cerebro) · Gemini 2.5 Flash (fallback)</w:t>
            </w:r>
          </w:p>
        </w:tc>
      </w:tr>
      <w:tr>
        <w:tc>
          <w:tcPr>
            <w:tcW w:type="dxa" w:w="4419"/>
          </w:tcPr>
          <w:p>
            <w:r>
              <w:rPr>
                <w:color w:val="1F1F1F"/>
                <w:sz w:val="20"/>
              </w:rPr>
              <w:t>Búsqueda</w:t>
            </w:r>
          </w:p>
        </w:tc>
        <w:tc>
          <w:tcPr>
            <w:tcW w:type="dxa" w:w="4419"/>
          </w:tcPr>
          <w:p>
            <w:r>
              <w:rPr>
                <w:color w:val="444444"/>
                <w:sz w:val="20"/>
              </w:rPr>
              <w:t>Serper API (Google) + Firecrawl (scraping)</w:t>
            </w:r>
          </w:p>
        </w:tc>
      </w:tr>
      <w:tr>
        <w:tc>
          <w:tcPr>
            <w:tcW w:type="dxa" w:w="4419"/>
          </w:tcPr>
          <w:p>
            <w:r>
              <w:rPr>
                <w:color w:val="1F1F1F"/>
                <w:sz w:val="20"/>
              </w:rPr>
              <w:t>Hosting</w:t>
            </w:r>
          </w:p>
        </w:tc>
        <w:tc>
          <w:tcPr>
            <w:tcW w:type="dxa" w:w="4419"/>
          </w:tcPr>
          <w:p>
            <w:r>
              <w:rPr>
                <w:color w:val="444444"/>
                <w:sz w:val="20"/>
              </w:rPr>
              <w:t>Vercel (deploy automático desde GitHub)</w:t>
            </w:r>
          </w:p>
        </w:tc>
      </w:tr>
      <w:tr>
        <w:tc>
          <w:tcPr>
            <w:tcW w:type="dxa" w:w="4419"/>
          </w:tcPr>
          <w:p>
            <w:r>
              <w:rPr>
                <w:color w:val="1F1F1F"/>
                <w:sz w:val="20"/>
              </w:rPr>
              <w:t>Control de versiones</w:t>
            </w:r>
          </w:p>
        </w:tc>
        <w:tc>
          <w:tcPr>
            <w:tcW w:type="dxa" w:w="4419"/>
          </w:tcPr>
          <w:p>
            <w:r>
              <w:rPr>
                <w:color w:val="444444"/>
                <w:sz w:val="20"/>
              </w:rPr>
              <w:t>GitHub</w:t>
            </w:r>
          </w:p>
        </w:tc>
      </w:tr>
      <w:tr>
        <w:tc>
          <w:tcPr>
            <w:tcW w:type="dxa" w:w="4419"/>
          </w:tcPr>
          <w:p>
            <w:r>
              <w:rPr>
                <w:color w:val="1F1F1F"/>
                <w:sz w:val="20"/>
              </w:rPr>
              <w:t>Dev tools</w:t>
            </w:r>
          </w:p>
        </w:tc>
        <w:tc>
          <w:tcPr>
            <w:tcW w:type="dxa" w:w="4419"/>
          </w:tcPr>
          <w:p>
            <w:r>
              <w:rPr>
                <w:color w:val="444444"/>
                <w:sz w:val="20"/>
              </w:rPr>
              <w:t>Antigravity · Claude Code · Cursor</w:t>
            </w:r>
          </w:p>
        </w:tc>
      </w:tr>
    </w:tbl>
    <w:p/>
    <w:p>
      <w:pPr>
        <w:spacing w:before="240"/>
      </w:pPr>
      <w:r>
        <w:rPr>
          <w:rFonts w:ascii="Inter" w:hAnsi="Inter"/>
          <w:b w:val="0"/>
          <w:i/>
          <w:color w:val="70757A"/>
          <w:sz w:val="21"/>
        </w:rPr>
        <w:t>El resultado es un MVP funcional, desplegado en producción en Vercel, gratuito hasta los límites de uso de cada tier, y construido en un tiempo que se mide en horas — no en semanas.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