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70D2F" w14:textId="77777777" w:rsidR="002F0F4B" w:rsidRDefault="002F0F4B">
      <w:pPr>
        <w:rPr>
          <w:lang w:val="es-MX"/>
        </w:rPr>
      </w:pPr>
    </w:p>
    <w:p w14:paraId="45E18809" w14:textId="77777777" w:rsidR="007721E4" w:rsidRDefault="004718CF" w:rsidP="007721E4">
      <w:pPr>
        <w:pStyle w:val="Ttulo1"/>
        <w:rPr>
          <w:lang w:val="es-MX"/>
        </w:rPr>
      </w:pPr>
      <w:r>
        <w:rPr>
          <w:lang w:val="es-MX"/>
        </w:rPr>
        <w:t xml:space="preserve">Reporte de </w:t>
      </w:r>
      <w:r w:rsidR="00925878">
        <w:rPr>
          <w:lang w:val="es-MX"/>
        </w:rPr>
        <w:t>atraso en entregables</w:t>
      </w:r>
    </w:p>
    <w:p w14:paraId="782C9171" w14:textId="77777777" w:rsidR="00925878" w:rsidRDefault="00DD0186" w:rsidP="00925878">
      <w:pPr>
        <w:pStyle w:val="Ttulo3"/>
        <w:rPr>
          <w:lang w:val="es-MX"/>
        </w:rPr>
      </w:pPr>
      <w:r>
        <w:rPr>
          <w:lang w:val="es-MX"/>
        </w:rPr>
        <w:t>02</w:t>
      </w:r>
      <w:r w:rsidR="00DC51AA">
        <w:rPr>
          <w:lang w:val="es-MX"/>
        </w:rPr>
        <w:t xml:space="preserve"> de </w:t>
      </w:r>
      <w:r>
        <w:rPr>
          <w:lang w:val="es-MX"/>
        </w:rPr>
        <w:t>Marzo</w:t>
      </w:r>
      <w:r w:rsidR="00DC51AA">
        <w:rPr>
          <w:lang w:val="es-MX"/>
        </w:rPr>
        <w:t xml:space="preserve"> de 2015</w:t>
      </w:r>
    </w:p>
    <w:p w14:paraId="60D48386" w14:textId="77777777" w:rsidR="00925878" w:rsidRDefault="00925878" w:rsidP="00925878">
      <w:pPr>
        <w:rPr>
          <w:lang w:val="es-MX"/>
        </w:rPr>
      </w:pPr>
    </w:p>
    <w:p w14:paraId="53C6A609" w14:textId="30FC9096" w:rsidR="00925878" w:rsidRDefault="00925878" w:rsidP="00925878">
      <w:pPr>
        <w:rPr>
          <w:lang w:val="es-MX"/>
        </w:rPr>
      </w:pPr>
      <w:r>
        <w:rPr>
          <w:lang w:val="es-MX"/>
        </w:rPr>
        <w:t xml:space="preserve">Hola buen día equipo Megacable, en el presente documento encontrarán una tabla con los diferentes entregables programados del </w:t>
      </w:r>
      <w:r w:rsidR="00373A0E">
        <w:rPr>
          <w:lang w:val="es-MX"/>
        </w:rPr>
        <w:t>sistema Megacable Publicidad, teniendo en cuenta los atrasos generados por concepto Reglas de negocio.</w:t>
      </w:r>
    </w:p>
    <w:p w14:paraId="06DC98DD" w14:textId="77777777" w:rsidR="00C02B75" w:rsidRDefault="00C02B75" w:rsidP="00925878">
      <w:pPr>
        <w:rPr>
          <w:lang w:val="es-MX"/>
        </w:rPr>
      </w:pPr>
    </w:p>
    <w:p w14:paraId="65DF466F" w14:textId="058F87CB" w:rsidR="00983CA0" w:rsidRPr="00925878" w:rsidRDefault="00334D93" w:rsidP="00983CA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 xml:space="preserve">Tabla de entregables previstos </w:t>
      </w:r>
      <w:r w:rsidR="003921F0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>al reporte anterior</w:t>
      </w:r>
    </w:p>
    <w:p w14:paraId="419E02D1" w14:textId="77777777" w:rsidR="00983CA0" w:rsidRDefault="00983CA0" w:rsidP="00983CA0">
      <w:pPr>
        <w:rPr>
          <w:lang w:val="es-MX"/>
        </w:rPr>
      </w:pP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4038"/>
        <w:gridCol w:w="3293"/>
      </w:tblGrid>
      <w:tr w:rsidR="00983CA0" w14:paraId="727C921B" w14:textId="77777777" w:rsidTr="00DD0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DED461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</w:p>
        </w:tc>
        <w:tc>
          <w:tcPr>
            <w:tcW w:w="4961" w:type="dxa"/>
          </w:tcPr>
          <w:p w14:paraId="30867FE1" w14:textId="77777777" w:rsidR="00983CA0" w:rsidRDefault="00983CA0" w:rsidP="00DD0186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Nombre</w:t>
            </w:r>
          </w:p>
        </w:tc>
        <w:tc>
          <w:tcPr>
            <w:tcW w:w="4038" w:type="dxa"/>
          </w:tcPr>
          <w:p w14:paraId="32E4B122" w14:textId="77777777" w:rsidR="00983CA0" w:rsidRDefault="00983CA0" w:rsidP="00DD0186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Fecha</w:t>
            </w:r>
          </w:p>
        </w:tc>
        <w:tc>
          <w:tcPr>
            <w:tcW w:w="3293" w:type="dxa"/>
          </w:tcPr>
          <w:p w14:paraId="0A6C2964" w14:textId="77777777" w:rsidR="00983CA0" w:rsidRDefault="00983CA0" w:rsidP="00DD0186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Porcentaje de avance</w:t>
            </w:r>
          </w:p>
        </w:tc>
      </w:tr>
      <w:tr w:rsidR="00983CA0" w14:paraId="2234377E" w14:textId="77777777" w:rsidTr="00DD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FFDF92A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961" w:type="dxa"/>
          </w:tcPr>
          <w:p w14:paraId="3D4C94B4" w14:textId="77777777" w:rsidR="00983CA0" w:rsidRDefault="00983CA0" w:rsidP="00DD018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Administrador de productos</w:t>
            </w:r>
          </w:p>
        </w:tc>
        <w:tc>
          <w:tcPr>
            <w:tcW w:w="4038" w:type="dxa"/>
          </w:tcPr>
          <w:p w14:paraId="3DF18C11" w14:textId="77777777" w:rsidR="00983CA0" w:rsidRDefault="00983CA0" w:rsidP="00DD018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15 de Agosto de 2014</w:t>
            </w:r>
          </w:p>
        </w:tc>
        <w:tc>
          <w:tcPr>
            <w:tcW w:w="3293" w:type="dxa"/>
          </w:tcPr>
          <w:p w14:paraId="7697375F" w14:textId="77777777" w:rsidR="00983CA0" w:rsidRDefault="00334D93" w:rsidP="00DD018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100%</w:t>
            </w:r>
          </w:p>
        </w:tc>
      </w:tr>
      <w:tr w:rsidR="00983CA0" w14:paraId="5CCD24B4" w14:textId="77777777" w:rsidTr="00DD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841998A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961" w:type="dxa"/>
          </w:tcPr>
          <w:p w14:paraId="17AC28E3" w14:textId="77777777" w:rsidR="00983CA0" w:rsidRDefault="00983CA0" w:rsidP="00DD0186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Inventario</w:t>
            </w:r>
          </w:p>
        </w:tc>
        <w:tc>
          <w:tcPr>
            <w:tcW w:w="4038" w:type="dxa"/>
          </w:tcPr>
          <w:p w14:paraId="42A95991" w14:textId="77777777" w:rsidR="00983CA0" w:rsidRDefault="00983CA0" w:rsidP="00DD018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12 de Septiembre de 2014</w:t>
            </w:r>
          </w:p>
        </w:tc>
        <w:tc>
          <w:tcPr>
            <w:tcW w:w="3293" w:type="dxa"/>
          </w:tcPr>
          <w:p w14:paraId="75DDE5FD" w14:textId="4C0A38DD" w:rsidR="00983CA0" w:rsidRDefault="00CF48C6" w:rsidP="00DD018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100</w:t>
            </w:r>
            <w:r w:rsidR="00983CA0">
              <w:rPr>
                <w:lang w:val="es-ES"/>
              </w:rPr>
              <w:t xml:space="preserve"> %</w:t>
            </w:r>
          </w:p>
        </w:tc>
      </w:tr>
      <w:tr w:rsidR="00983CA0" w14:paraId="6B9FA63E" w14:textId="77777777" w:rsidTr="00DD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05E8BA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961" w:type="dxa"/>
          </w:tcPr>
          <w:p w14:paraId="0EBE1186" w14:textId="77777777" w:rsidR="00983CA0" w:rsidRDefault="00983CA0" w:rsidP="00DD018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Catálogos</w:t>
            </w:r>
          </w:p>
        </w:tc>
        <w:tc>
          <w:tcPr>
            <w:tcW w:w="4038" w:type="dxa"/>
          </w:tcPr>
          <w:p w14:paraId="2CB2EF03" w14:textId="77777777" w:rsidR="00983CA0" w:rsidRDefault="00983CA0" w:rsidP="00DD018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24 de Octubre de 2014</w:t>
            </w:r>
          </w:p>
        </w:tc>
        <w:tc>
          <w:tcPr>
            <w:tcW w:w="3293" w:type="dxa"/>
          </w:tcPr>
          <w:p w14:paraId="67881BCE" w14:textId="577C5011" w:rsidR="00983CA0" w:rsidRDefault="00CF48C6" w:rsidP="00DD018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100</w:t>
            </w:r>
            <w:r w:rsidR="00983CA0">
              <w:rPr>
                <w:lang w:val="es-ES"/>
              </w:rPr>
              <w:t>%</w:t>
            </w:r>
          </w:p>
        </w:tc>
      </w:tr>
      <w:tr w:rsidR="00983CA0" w14:paraId="35DE9E24" w14:textId="77777777" w:rsidTr="00DD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6B994C1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961" w:type="dxa"/>
          </w:tcPr>
          <w:p w14:paraId="788C903E" w14:textId="77777777" w:rsidR="00983CA0" w:rsidRDefault="00983CA0" w:rsidP="00DD0186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Orden de transmisión</w:t>
            </w:r>
          </w:p>
        </w:tc>
        <w:tc>
          <w:tcPr>
            <w:tcW w:w="4038" w:type="dxa"/>
          </w:tcPr>
          <w:p w14:paraId="43869C73" w14:textId="7627DA58" w:rsidR="00983CA0" w:rsidRDefault="0054667C" w:rsidP="00CF48C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10</w:t>
            </w:r>
            <w:r w:rsidR="00CF48C6">
              <w:rPr>
                <w:sz w:val="22"/>
                <w:lang w:val="es-ES"/>
              </w:rPr>
              <w:t xml:space="preserve"> de Abril</w:t>
            </w:r>
            <w:r w:rsidR="00983CA0">
              <w:rPr>
                <w:sz w:val="22"/>
                <w:lang w:val="es-ES"/>
              </w:rPr>
              <w:t xml:space="preserve"> de 2015</w:t>
            </w:r>
          </w:p>
        </w:tc>
        <w:tc>
          <w:tcPr>
            <w:tcW w:w="3293" w:type="dxa"/>
          </w:tcPr>
          <w:p w14:paraId="1E2CC06B" w14:textId="77777777" w:rsidR="00983CA0" w:rsidRDefault="0094170F" w:rsidP="00DD018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65</w:t>
            </w:r>
            <w:r w:rsidR="00983CA0">
              <w:rPr>
                <w:lang w:val="es-ES"/>
              </w:rPr>
              <w:t xml:space="preserve"> %</w:t>
            </w:r>
          </w:p>
        </w:tc>
      </w:tr>
      <w:tr w:rsidR="00983CA0" w14:paraId="494C4E34" w14:textId="77777777" w:rsidTr="00DD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6599AE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961" w:type="dxa"/>
          </w:tcPr>
          <w:p w14:paraId="2CC57071" w14:textId="77777777" w:rsidR="00983CA0" w:rsidRDefault="00983CA0" w:rsidP="00DD018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Bloqueos</w:t>
            </w:r>
          </w:p>
        </w:tc>
        <w:tc>
          <w:tcPr>
            <w:tcW w:w="4038" w:type="dxa"/>
          </w:tcPr>
          <w:p w14:paraId="2D777CCA" w14:textId="2CED6F6D" w:rsidR="00983CA0" w:rsidRDefault="0054667C" w:rsidP="00DD018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30</w:t>
            </w:r>
            <w:bookmarkStart w:id="0" w:name="_GoBack"/>
            <w:bookmarkEnd w:id="0"/>
            <w:r w:rsidR="00334D93">
              <w:rPr>
                <w:sz w:val="22"/>
                <w:lang w:val="es-ES"/>
              </w:rPr>
              <w:t xml:space="preserve"> de Abril</w:t>
            </w:r>
            <w:r w:rsidR="00983CA0">
              <w:rPr>
                <w:sz w:val="22"/>
                <w:lang w:val="es-ES"/>
              </w:rPr>
              <w:t xml:space="preserve"> de 2015</w:t>
            </w:r>
          </w:p>
        </w:tc>
        <w:tc>
          <w:tcPr>
            <w:tcW w:w="3293" w:type="dxa"/>
          </w:tcPr>
          <w:p w14:paraId="5BFB0DC6" w14:textId="663666A1" w:rsidR="00983CA0" w:rsidRDefault="00983CA0" w:rsidP="00DD018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0 %</w:t>
            </w:r>
          </w:p>
        </w:tc>
      </w:tr>
      <w:tr w:rsidR="00983CA0" w14:paraId="283A9430" w14:textId="77777777" w:rsidTr="00DD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F61029A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961" w:type="dxa"/>
          </w:tcPr>
          <w:p w14:paraId="17AD7C07" w14:textId="77777777" w:rsidR="00983CA0" w:rsidRDefault="00983CA0" w:rsidP="00DD0186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Facturación</w:t>
            </w:r>
          </w:p>
        </w:tc>
        <w:tc>
          <w:tcPr>
            <w:tcW w:w="4038" w:type="dxa"/>
          </w:tcPr>
          <w:p w14:paraId="757BE737" w14:textId="0EAF06DD" w:rsidR="00983CA0" w:rsidRDefault="00CF48C6" w:rsidP="00DD018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03 de Junio</w:t>
            </w:r>
            <w:r w:rsidR="00983CA0">
              <w:rPr>
                <w:sz w:val="22"/>
                <w:lang w:val="es-ES"/>
              </w:rPr>
              <w:t xml:space="preserve"> de 2015</w:t>
            </w:r>
          </w:p>
        </w:tc>
        <w:tc>
          <w:tcPr>
            <w:tcW w:w="3293" w:type="dxa"/>
          </w:tcPr>
          <w:p w14:paraId="2D621E8B" w14:textId="77777777" w:rsidR="00983CA0" w:rsidRDefault="00983CA0" w:rsidP="00DD018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0 %</w:t>
            </w:r>
          </w:p>
        </w:tc>
      </w:tr>
      <w:tr w:rsidR="00983CA0" w14:paraId="382DEACF" w14:textId="77777777" w:rsidTr="00DD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53B92C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4961" w:type="dxa"/>
          </w:tcPr>
          <w:p w14:paraId="28F3AE9E" w14:textId="77777777" w:rsidR="00983CA0" w:rsidRDefault="00983CA0" w:rsidP="00DD018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Comisiones</w:t>
            </w:r>
          </w:p>
        </w:tc>
        <w:tc>
          <w:tcPr>
            <w:tcW w:w="4038" w:type="dxa"/>
          </w:tcPr>
          <w:p w14:paraId="277EB0E0" w14:textId="7F7B1B59" w:rsidR="00983CA0" w:rsidRDefault="00CF48C6" w:rsidP="00DD018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 xml:space="preserve">24 </w:t>
            </w:r>
            <w:r w:rsidR="00334D93">
              <w:rPr>
                <w:sz w:val="22"/>
                <w:lang w:val="es-ES"/>
              </w:rPr>
              <w:t>de Junio</w:t>
            </w:r>
            <w:r w:rsidR="00983CA0">
              <w:rPr>
                <w:sz w:val="22"/>
                <w:lang w:val="es-ES"/>
              </w:rPr>
              <w:t xml:space="preserve"> de 2015</w:t>
            </w:r>
          </w:p>
        </w:tc>
        <w:tc>
          <w:tcPr>
            <w:tcW w:w="3293" w:type="dxa"/>
          </w:tcPr>
          <w:p w14:paraId="4254542C" w14:textId="77777777" w:rsidR="00983CA0" w:rsidRDefault="00983CA0" w:rsidP="00DD018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0 %</w:t>
            </w:r>
          </w:p>
        </w:tc>
      </w:tr>
      <w:tr w:rsidR="00983CA0" w14:paraId="36211219" w14:textId="77777777" w:rsidTr="00DD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495E456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4961" w:type="dxa"/>
          </w:tcPr>
          <w:p w14:paraId="1565889E" w14:textId="77777777" w:rsidR="00983CA0" w:rsidRDefault="00983CA0" w:rsidP="00DD0186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Reportes</w:t>
            </w:r>
          </w:p>
        </w:tc>
        <w:tc>
          <w:tcPr>
            <w:tcW w:w="4038" w:type="dxa"/>
          </w:tcPr>
          <w:p w14:paraId="7336D2E9" w14:textId="7916ECA8" w:rsidR="00983CA0" w:rsidRDefault="00CF48C6" w:rsidP="00DD018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30</w:t>
            </w:r>
            <w:r w:rsidR="00334D93">
              <w:rPr>
                <w:sz w:val="22"/>
                <w:lang w:val="es-ES"/>
              </w:rPr>
              <w:t xml:space="preserve"> de Julio</w:t>
            </w:r>
            <w:r w:rsidR="00983CA0">
              <w:rPr>
                <w:sz w:val="22"/>
                <w:lang w:val="es-ES"/>
              </w:rPr>
              <w:t xml:space="preserve"> de 2015</w:t>
            </w:r>
          </w:p>
        </w:tc>
        <w:tc>
          <w:tcPr>
            <w:tcW w:w="3293" w:type="dxa"/>
          </w:tcPr>
          <w:p w14:paraId="194639B8" w14:textId="77777777" w:rsidR="00983CA0" w:rsidRDefault="00983CA0" w:rsidP="00DD018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0 %</w:t>
            </w:r>
          </w:p>
        </w:tc>
      </w:tr>
      <w:tr w:rsidR="00983CA0" w14:paraId="4FA04B7A" w14:textId="77777777" w:rsidTr="00DD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DC02326" w14:textId="77777777" w:rsidR="00983CA0" w:rsidRDefault="00983CA0" w:rsidP="00DD0186">
            <w:pPr>
              <w:pStyle w:val="Sinespaciado"/>
              <w:jc w:val="center"/>
              <w:rPr>
                <w:lang w:val="es-ES"/>
              </w:rPr>
            </w:pPr>
          </w:p>
        </w:tc>
        <w:tc>
          <w:tcPr>
            <w:tcW w:w="4961" w:type="dxa"/>
          </w:tcPr>
          <w:p w14:paraId="3F112905" w14:textId="77777777" w:rsidR="00983CA0" w:rsidRDefault="00983CA0" w:rsidP="00DD018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</w:p>
        </w:tc>
        <w:tc>
          <w:tcPr>
            <w:tcW w:w="4038" w:type="dxa"/>
          </w:tcPr>
          <w:p w14:paraId="105F71D9" w14:textId="77777777" w:rsidR="00983CA0" w:rsidRDefault="00983CA0" w:rsidP="00DD018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</w:p>
        </w:tc>
        <w:tc>
          <w:tcPr>
            <w:tcW w:w="3293" w:type="dxa"/>
          </w:tcPr>
          <w:p w14:paraId="389F3AD2" w14:textId="77777777" w:rsidR="00983CA0" w:rsidRDefault="00983CA0" w:rsidP="00DD018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537C6235" w14:textId="77777777" w:rsidR="00983CA0" w:rsidRDefault="00983CA0" w:rsidP="00983CA0">
      <w:pPr>
        <w:rPr>
          <w:lang w:val="es-MX"/>
        </w:rPr>
      </w:pPr>
    </w:p>
    <w:p w14:paraId="4ECD223F" w14:textId="6E592161" w:rsidR="007F382B" w:rsidRDefault="00E346A6" w:rsidP="003921F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>Justificación del Atraso</w:t>
      </w:r>
    </w:p>
    <w:p w14:paraId="6699F347" w14:textId="6C541795" w:rsidR="00373A0E" w:rsidRDefault="00373A0E" w:rsidP="00373A0E">
      <w:pPr>
        <w:jc w:val="both"/>
        <w:rPr>
          <w:lang w:val="es-MX"/>
        </w:rPr>
      </w:pPr>
      <w:r>
        <w:rPr>
          <w:lang w:val="es-MX"/>
        </w:rPr>
        <w:t xml:space="preserve">El día jueves 12 de Marzo se acordó que las reglas de negocio a implementar en la tecnología JBPM se firmarían el día 16 de Marzo, sin embargo al día de hoy dichas reglas no se han entregado firmadas, es necesario posterior a su firma un periodo mínimo de una semana para la correcta implementación de dichas reglas, por lo tanto, mientras esas reglas no se entreguen el entregable continuará postergándose. </w:t>
      </w:r>
    </w:p>
    <w:p w14:paraId="6443A993" w14:textId="77777777" w:rsidR="00373A0E" w:rsidRDefault="00373A0E" w:rsidP="00373A0E">
      <w:pPr>
        <w:jc w:val="both"/>
        <w:rPr>
          <w:lang w:val="es-MX"/>
        </w:rPr>
      </w:pPr>
    </w:p>
    <w:p w14:paraId="2AED507B" w14:textId="7D7CEED5" w:rsidR="00373A0E" w:rsidRPr="00AE6676" w:rsidRDefault="00373A0E" w:rsidP="00373A0E">
      <w:pPr>
        <w:jc w:val="both"/>
        <w:rPr>
          <w:lang w:val="es-MX"/>
        </w:rPr>
      </w:pPr>
      <w:r>
        <w:rPr>
          <w:lang w:val="es-MX"/>
        </w:rPr>
        <w:t>Es importante resaltar que se ha trabajado en otros detalles del resto de los entregables para aprovechar el tiempo, sin embargo la dependencia para continuar es latente.</w:t>
      </w:r>
    </w:p>
    <w:sectPr w:rsidR="00373A0E" w:rsidRPr="00AE6676" w:rsidSect="00925878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110C7" w14:textId="77777777" w:rsidR="002C1CC7" w:rsidRDefault="002C1CC7" w:rsidP="003E7264">
      <w:r>
        <w:separator/>
      </w:r>
    </w:p>
  </w:endnote>
  <w:endnote w:type="continuationSeparator" w:id="0">
    <w:p w14:paraId="14C33D79" w14:textId="77777777" w:rsidR="002C1CC7" w:rsidRDefault="002C1CC7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E5558" w14:textId="77777777" w:rsidR="00B005AB" w:rsidRDefault="002C1CC7" w:rsidP="003E7264">
    <w:pPr>
      <w:pStyle w:val="Piedepgina"/>
      <w:jc w:val="center"/>
    </w:pPr>
    <w:hyperlink r:id="rId1" w:history="1">
      <w:r w:rsidR="00B005AB" w:rsidRPr="00F5337E">
        <w:rPr>
          <w:rStyle w:val="Hipervnculo"/>
        </w:rPr>
        <w:t>www.duxstar.com</w:t>
      </w:r>
    </w:hyperlink>
    <w:r w:rsidR="00B005AB">
      <w:t xml:space="preserve">  Tel: (33)3268-3700  </w:t>
    </w:r>
    <w:hyperlink r:id="rId2" w:history="1">
      <w:r w:rsidR="00B005A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8B2CD" w14:textId="77777777" w:rsidR="002C1CC7" w:rsidRDefault="002C1CC7" w:rsidP="003E7264">
      <w:r>
        <w:separator/>
      </w:r>
    </w:p>
  </w:footnote>
  <w:footnote w:type="continuationSeparator" w:id="0">
    <w:p w14:paraId="093468E8" w14:textId="77777777" w:rsidR="002C1CC7" w:rsidRDefault="002C1CC7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67F58" w14:textId="77777777" w:rsidR="00B005AB" w:rsidRDefault="00B005A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34EFC108" wp14:editId="6CCD1EBA">
          <wp:simplePos x="0" y="0"/>
          <wp:positionH relativeFrom="column">
            <wp:posOffset>-425450</wp:posOffset>
          </wp:positionH>
          <wp:positionV relativeFrom="paragraph">
            <wp:posOffset>-232410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27AF6"/>
    <w:multiLevelType w:val="multilevel"/>
    <w:tmpl w:val="FE140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4D7E9B"/>
    <w:multiLevelType w:val="hybridMultilevel"/>
    <w:tmpl w:val="9FA04BC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9D40C4"/>
    <w:multiLevelType w:val="hybridMultilevel"/>
    <w:tmpl w:val="043CB32C"/>
    <w:lvl w:ilvl="0" w:tplc="4B603790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AB33CB"/>
    <w:multiLevelType w:val="hybridMultilevel"/>
    <w:tmpl w:val="71122C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5C29A6"/>
    <w:multiLevelType w:val="hybridMultilevel"/>
    <w:tmpl w:val="366C468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034D4A"/>
    <w:multiLevelType w:val="hybridMultilevel"/>
    <w:tmpl w:val="5B90F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18"/>
  </w:num>
  <w:num w:numId="4">
    <w:abstractNumId w:val="19"/>
  </w:num>
  <w:num w:numId="5">
    <w:abstractNumId w:val="7"/>
  </w:num>
  <w:num w:numId="6">
    <w:abstractNumId w:val="25"/>
  </w:num>
  <w:num w:numId="7">
    <w:abstractNumId w:val="30"/>
  </w:num>
  <w:num w:numId="8">
    <w:abstractNumId w:val="21"/>
  </w:num>
  <w:num w:numId="9">
    <w:abstractNumId w:val="29"/>
  </w:num>
  <w:num w:numId="10">
    <w:abstractNumId w:val="14"/>
  </w:num>
  <w:num w:numId="11">
    <w:abstractNumId w:val="22"/>
  </w:num>
  <w:num w:numId="12">
    <w:abstractNumId w:val="11"/>
  </w:num>
  <w:num w:numId="13">
    <w:abstractNumId w:val="4"/>
  </w:num>
  <w:num w:numId="14">
    <w:abstractNumId w:val="27"/>
  </w:num>
  <w:num w:numId="15">
    <w:abstractNumId w:val="8"/>
  </w:num>
  <w:num w:numId="16">
    <w:abstractNumId w:val="9"/>
  </w:num>
  <w:num w:numId="17">
    <w:abstractNumId w:val="28"/>
  </w:num>
  <w:num w:numId="18">
    <w:abstractNumId w:val="0"/>
  </w:num>
  <w:num w:numId="19">
    <w:abstractNumId w:val="1"/>
  </w:num>
  <w:num w:numId="20">
    <w:abstractNumId w:val="24"/>
  </w:num>
  <w:num w:numId="21">
    <w:abstractNumId w:val="17"/>
  </w:num>
  <w:num w:numId="22">
    <w:abstractNumId w:val="3"/>
  </w:num>
  <w:num w:numId="23">
    <w:abstractNumId w:val="10"/>
  </w:num>
  <w:num w:numId="24">
    <w:abstractNumId w:val="2"/>
  </w:num>
  <w:num w:numId="25">
    <w:abstractNumId w:val="16"/>
  </w:num>
  <w:num w:numId="26">
    <w:abstractNumId w:val="13"/>
  </w:num>
  <w:num w:numId="27">
    <w:abstractNumId w:val="6"/>
  </w:num>
  <w:num w:numId="28">
    <w:abstractNumId w:val="5"/>
  </w:num>
  <w:num w:numId="29">
    <w:abstractNumId w:val="23"/>
  </w:num>
  <w:num w:numId="30">
    <w:abstractNumId w:val="20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64"/>
    <w:rsid w:val="0002460A"/>
    <w:rsid w:val="00025EEA"/>
    <w:rsid w:val="000A6842"/>
    <w:rsid w:val="00132E4E"/>
    <w:rsid w:val="001C7BCD"/>
    <w:rsid w:val="001F602F"/>
    <w:rsid w:val="002159C8"/>
    <w:rsid w:val="002C1CC7"/>
    <w:rsid w:val="002D25E8"/>
    <w:rsid w:val="002E5D76"/>
    <w:rsid w:val="002F0F4B"/>
    <w:rsid w:val="00317792"/>
    <w:rsid w:val="0032132B"/>
    <w:rsid w:val="00334D93"/>
    <w:rsid w:val="00373A0E"/>
    <w:rsid w:val="003921F0"/>
    <w:rsid w:val="003A7C92"/>
    <w:rsid w:val="003B65CB"/>
    <w:rsid w:val="003E7264"/>
    <w:rsid w:val="00460FE8"/>
    <w:rsid w:val="004718CF"/>
    <w:rsid w:val="004817A4"/>
    <w:rsid w:val="004A5D45"/>
    <w:rsid w:val="00505ED4"/>
    <w:rsid w:val="00515A93"/>
    <w:rsid w:val="0054667C"/>
    <w:rsid w:val="005466CC"/>
    <w:rsid w:val="00567848"/>
    <w:rsid w:val="005726BA"/>
    <w:rsid w:val="00595581"/>
    <w:rsid w:val="00595F79"/>
    <w:rsid w:val="005B5068"/>
    <w:rsid w:val="006226D0"/>
    <w:rsid w:val="006513F5"/>
    <w:rsid w:val="0065142F"/>
    <w:rsid w:val="00655C6F"/>
    <w:rsid w:val="00664B9C"/>
    <w:rsid w:val="00682305"/>
    <w:rsid w:val="00693B43"/>
    <w:rsid w:val="006E58D7"/>
    <w:rsid w:val="007356E5"/>
    <w:rsid w:val="0075608B"/>
    <w:rsid w:val="007721E4"/>
    <w:rsid w:val="00784D42"/>
    <w:rsid w:val="007A16C3"/>
    <w:rsid w:val="007C3B88"/>
    <w:rsid w:val="007F382B"/>
    <w:rsid w:val="0081217E"/>
    <w:rsid w:val="00825CBF"/>
    <w:rsid w:val="008B7025"/>
    <w:rsid w:val="008F3AD6"/>
    <w:rsid w:val="00907380"/>
    <w:rsid w:val="00925878"/>
    <w:rsid w:val="0094170F"/>
    <w:rsid w:val="00944FD2"/>
    <w:rsid w:val="00975407"/>
    <w:rsid w:val="00983CA0"/>
    <w:rsid w:val="009A631F"/>
    <w:rsid w:val="009D3CF0"/>
    <w:rsid w:val="009E02C5"/>
    <w:rsid w:val="00A070F3"/>
    <w:rsid w:val="00A073C7"/>
    <w:rsid w:val="00A10CAE"/>
    <w:rsid w:val="00A1249D"/>
    <w:rsid w:val="00A15A1D"/>
    <w:rsid w:val="00A44246"/>
    <w:rsid w:val="00A609B7"/>
    <w:rsid w:val="00A87E45"/>
    <w:rsid w:val="00A92575"/>
    <w:rsid w:val="00AB0B22"/>
    <w:rsid w:val="00AE6676"/>
    <w:rsid w:val="00B005AB"/>
    <w:rsid w:val="00B169AB"/>
    <w:rsid w:val="00B46B42"/>
    <w:rsid w:val="00B52AE4"/>
    <w:rsid w:val="00B72514"/>
    <w:rsid w:val="00B75B99"/>
    <w:rsid w:val="00C02B75"/>
    <w:rsid w:val="00C1472B"/>
    <w:rsid w:val="00C608C1"/>
    <w:rsid w:val="00C86287"/>
    <w:rsid w:val="00CD655D"/>
    <w:rsid w:val="00CF48C6"/>
    <w:rsid w:val="00D06E1B"/>
    <w:rsid w:val="00D1363C"/>
    <w:rsid w:val="00D40FC0"/>
    <w:rsid w:val="00D541F7"/>
    <w:rsid w:val="00D82CF2"/>
    <w:rsid w:val="00DC51AA"/>
    <w:rsid w:val="00DD0186"/>
    <w:rsid w:val="00DD4CD0"/>
    <w:rsid w:val="00E05D37"/>
    <w:rsid w:val="00E071B8"/>
    <w:rsid w:val="00E346A6"/>
    <w:rsid w:val="00E6540B"/>
    <w:rsid w:val="00E72D4A"/>
    <w:rsid w:val="00E81ECC"/>
    <w:rsid w:val="00F15D1B"/>
    <w:rsid w:val="00F648F2"/>
    <w:rsid w:val="00FB0DD4"/>
    <w:rsid w:val="00F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CE88FC"/>
  <w14:defaultImageDpi w14:val="300"/>
  <w15:docId w15:val="{299B4BE6-9C73-412A-90BC-7D4803C2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58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92587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inespaciado">
    <w:name w:val="No Spacing"/>
    <w:uiPriority w:val="1"/>
    <w:qFormat/>
    <w:rsid w:val="00925878"/>
    <w:pPr>
      <w:jc w:val="both"/>
    </w:pPr>
    <w:rPr>
      <w:rFonts w:ascii="Arial" w:eastAsia="SimSun" w:hAnsi="Arial" w:cs="Times New Roman"/>
      <w:lang w:val="en-US" w:eastAsia="zh-CN"/>
    </w:rPr>
  </w:style>
  <w:style w:type="table" w:customStyle="1" w:styleId="Tabladecuadrcula4-nfasis11">
    <w:name w:val="Tabla de cuadrícula 4 - Énfasis 11"/>
    <w:basedOn w:val="Tablanormal"/>
    <w:uiPriority w:val="49"/>
    <w:rsid w:val="00925878"/>
    <w:rPr>
      <w:rFonts w:eastAsiaTheme="minorHAnsi"/>
      <w:sz w:val="22"/>
      <w:szCs w:val="22"/>
      <w:lang w:val="es-MX" w:eastAsia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C02B75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0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9D3FB-7C67-4EDA-BA9A-D4423CA0C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Connie Larios</cp:lastModifiedBy>
  <cp:revision>11</cp:revision>
  <dcterms:created xsi:type="dcterms:W3CDTF">2015-03-02T22:23:00Z</dcterms:created>
  <dcterms:modified xsi:type="dcterms:W3CDTF">2015-03-30T16:55:00Z</dcterms:modified>
</cp:coreProperties>
</file>