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3BD98" w14:textId="77777777" w:rsidR="00EB1586" w:rsidRPr="00A442AE" w:rsidRDefault="00EB1586" w:rsidP="00EB1586">
      <w:pPr>
        <w:pStyle w:val="Ttulo1"/>
      </w:pPr>
      <w:r w:rsidRPr="00A442AE">
        <w:t xml:space="preserve">Reglas de Facturación </w:t>
      </w:r>
    </w:p>
    <w:p w14:paraId="207D323C" w14:textId="77777777" w:rsidR="00EB1586" w:rsidRPr="00A442AE" w:rsidRDefault="00EB1586" w:rsidP="00EB1586">
      <w:pPr>
        <w:pStyle w:val="Prrafodelista"/>
        <w:keepNext/>
        <w:keepLines/>
        <w:spacing w:before="240"/>
        <w:outlineLvl w:val="0"/>
        <w:rPr>
          <w:u w:val="single"/>
        </w:rPr>
      </w:pPr>
    </w:p>
    <w:p w14:paraId="7DFCDC3E" w14:textId="77777777" w:rsidR="00EB1586" w:rsidRPr="00A442AE" w:rsidRDefault="00EB1586" w:rsidP="00EB1586">
      <w:pPr>
        <w:pStyle w:val="Prrafodelista"/>
        <w:numPr>
          <w:ilvl w:val="0"/>
          <w:numId w:val="1"/>
        </w:numPr>
        <w:spacing w:after="200" w:line="276" w:lineRule="auto"/>
        <w:jc w:val="both"/>
      </w:pPr>
      <w:r w:rsidRPr="00A442AE">
        <w:t xml:space="preserve">FACTURAS A CLIENTES DIRECTOS: Después de 90 días de facturado el ingreso debe estar cobrado, en caso contrario, 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rsidRPr="00A442AE">
        <w:t>refacturaciones</w:t>
      </w:r>
      <w:proofErr w:type="spellEnd"/>
      <w:r w:rsidRPr="00A442AE">
        <w:t xml:space="preserve"> solicitadas por los clientes por razones NO imputables a la empresa, éstas no modificarán la fecha de referencia. (Autorización correspondiente, dirección).</w:t>
      </w:r>
    </w:p>
    <w:p w14:paraId="689A3C6B" w14:textId="77777777" w:rsidR="00EB1586" w:rsidRPr="00A442AE" w:rsidRDefault="00EB1586" w:rsidP="00EB1586">
      <w:pPr>
        <w:pStyle w:val="Prrafodelista"/>
        <w:jc w:val="both"/>
      </w:pPr>
      <w:bookmarkStart w:id="0" w:name="_GoBack"/>
    </w:p>
    <w:p w14:paraId="000CC57E" w14:textId="77777777" w:rsidR="00EB1586" w:rsidRPr="00A442AE" w:rsidRDefault="00EB1586" w:rsidP="00EB1586">
      <w:pPr>
        <w:pStyle w:val="Prrafodelista"/>
        <w:numPr>
          <w:ilvl w:val="0"/>
          <w:numId w:val="1"/>
        </w:numPr>
        <w:spacing w:after="200" w:line="276" w:lineRule="auto"/>
        <w:jc w:val="both"/>
      </w:pPr>
      <w:r w:rsidRPr="00A442AE">
        <w:t xml:space="preserve">FACTURAS A AGENCIAS: </w:t>
      </w:r>
      <w:bookmarkEnd w:id="0"/>
      <w:r w:rsidRPr="00A442AE">
        <w:t xml:space="preserve">Después de 120 días de facturado el ingreso debe estar cobrado, en caso contrario, 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rsidRPr="00A442AE">
        <w:t>refacturaciones</w:t>
      </w:r>
      <w:proofErr w:type="spellEnd"/>
      <w:r w:rsidRPr="00A442AE">
        <w:t xml:space="preserve"> solicitadas por los clientes por razones NO imputables a la empresa, éstas no modificarán la fecha de referencia.(Autorización correspondiente, dirección).</w:t>
      </w:r>
    </w:p>
    <w:p w14:paraId="0501267A" w14:textId="77777777" w:rsidR="00EB1586" w:rsidRPr="00A442AE" w:rsidRDefault="00EB1586" w:rsidP="00EB1586">
      <w:pPr>
        <w:pStyle w:val="Prrafodelista"/>
        <w:spacing w:after="200" w:line="276" w:lineRule="auto"/>
        <w:jc w:val="both"/>
      </w:pPr>
    </w:p>
    <w:p w14:paraId="182DD68A" w14:textId="77777777" w:rsidR="00EB1586" w:rsidRPr="00A442AE" w:rsidRDefault="00EB1586" w:rsidP="00EB1586">
      <w:pPr>
        <w:pStyle w:val="Prrafodelista"/>
      </w:pPr>
    </w:p>
    <w:p w14:paraId="318C2074" w14:textId="77777777" w:rsidR="00EB1586" w:rsidRPr="00A442AE" w:rsidRDefault="00EB1586" w:rsidP="00EB1586">
      <w:pPr>
        <w:pStyle w:val="Prrafodelista"/>
        <w:numPr>
          <w:ilvl w:val="0"/>
          <w:numId w:val="1"/>
        </w:numPr>
        <w:spacing w:after="200" w:line="276" w:lineRule="auto"/>
        <w:jc w:val="both"/>
      </w:pPr>
      <w:r w:rsidRPr="00A442AE">
        <w:t xml:space="preserve">FACTURAS A GOB. DE LOS ESTADOS, AYUNTAMIENTOS Y DEPENDENCIAS: Después de 150 días de facturado el ingreso debe estar cobrado, en caso contrario, se revisará el caso particular y se podrá dar, previa autorización de la Dirección del área, un plazo adicional de 30 días. Al estar vencido el periodo que corresponda, ya sea el de 150 días ó el de 180, 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rsidRPr="00A442AE">
        <w:t>refacturaciones</w:t>
      </w:r>
      <w:proofErr w:type="spellEnd"/>
      <w:r w:rsidRPr="00A442AE">
        <w:t xml:space="preserve"> solicitadas por los clientes por razones NO imputables a la empresa, éstas no modificarán la fecha de referencia.</w:t>
      </w:r>
    </w:p>
    <w:p w14:paraId="67C5CBE3" w14:textId="77777777" w:rsidR="00EB1586" w:rsidRPr="00A442AE" w:rsidRDefault="00EB1586" w:rsidP="00EB1586">
      <w:pPr>
        <w:pStyle w:val="Prrafodelista"/>
      </w:pPr>
    </w:p>
    <w:p w14:paraId="2A2BB19C" w14:textId="77777777" w:rsidR="00EB1586" w:rsidRPr="00A442AE" w:rsidRDefault="00EB1586" w:rsidP="00EB1586">
      <w:pPr>
        <w:pStyle w:val="Prrafodelista"/>
        <w:numPr>
          <w:ilvl w:val="0"/>
          <w:numId w:val="1"/>
        </w:numPr>
        <w:spacing w:after="200" w:line="276" w:lineRule="auto"/>
        <w:jc w:val="both"/>
      </w:pPr>
      <w:r w:rsidRPr="00A442AE">
        <w:t xml:space="preserve">En todos los casos, una vez vencido el término NO se podrá seguir pautando ni facturando al cliente. Sólo podrán ser consideradas, a criterio del Administrador de área, </w:t>
      </w:r>
      <w:proofErr w:type="spellStart"/>
      <w:r w:rsidRPr="00A442AE">
        <w:t>refacturaciones</w:t>
      </w:r>
      <w:proofErr w:type="spellEnd"/>
      <w:r w:rsidRPr="00A442AE">
        <w:t xml:space="preserve"> para efectos de cobranza.</w:t>
      </w:r>
    </w:p>
    <w:p w14:paraId="694987F5" w14:textId="77777777" w:rsidR="00EB1586" w:rsidRPr="00A442AE" w:rsidRDefault="00EB1586" w:rsidP="00EB1586">
      <w:pPr>
        <w:pStyle w:val="Prrafodelista"/>
        <w:jc w:val="both"/>
      </w:pPr>
    </w:p>
    <w:p w14:paraId="44F1BD7C" w14:textId="77777777" w:rsidR="00EB1586" w:rsidRPr="00A442AE" w:rsidRDefault="00EB1586" w:rsidP="00EB1586">
      <w:pPr>
        <w:pStyle w:val="Prrafodelista"/>
        <w:jc w:val="both"/>
      </w:pPr>
    </w:p>
    <w:p w14:paraId="08FF2514" w14:textId="77777777" w:rsidR="00EB1586" w:rsidRPr="00A442AE" w:rsidRDefault="00EB1586" w:rsidP="00EB1586">
      <w:pPr>
        <w:jc w:val="both"/>
      </w:pPr>
    </w:p>
    <w:p w14:paraId="3F3E1A60" w14:textId="77777777" w:rsidR="00EB1586" w:rsidRPr="00A442AE" w:rsidRDefault="00EB1586" w:rsidP="00D91DA4">
      <w:pPr>
        <w:pStyle w:val="Prrafodelista"/>
        <w:numPr>
          <w:ilvl w:val="0"/>
          <w:numId w:val="1"/>
        </w:numPr>
        <w:jc w:val="both"/>
      </w:pPr>
      <w:r w:rsidRPr="00A442AE">
        <w:lastRenderedPageBreak/>
        <w:t>EFIS</w:t>
      </w:r>
    </w:p>
    <w:p w14:paraId="4C86B1DC" w14:textId="77777777" w:rsidR="00EB1586" w:rsidRPr="00A442AE" w:rsidRDefault="00EB1586" w:rsidP="00D91DA4">
      <w:pPr>
        <w:pStyle w:val="Prrafodelista"/>
        <w:numPr>
          <w:ilvl w:val="0"/>
          <w:numId w:val="4"/>
        </w:numPr>
        <w:ind w:left="1080"/>
        <w:jc w:val="both"/>
      </w:pPr>
      <w:r w:rsidRPr="00A442AE">
        <w:t>Facturados a cliente directo</w:t>
      </w:r>
    </w:p>
    <w:p w14:paraId="66622EB8" w14:textId="77777777" w:rsidR="00EB1586" w:rsidRPr="00A442AE" w:rsidRDefault="00EB1586" w:rsidP="00D91DA4">
      <w:pPr>
        <w:pStyle w:val="Prrafodelista"/>
        <w:numPr>
          <w:ilvl w:val="0"/>
          <w:numId w:val="4"/>
        </w:numPr>
        <w:ind w:left="1080"/>
        <w:jc w:val="both"/>
      </w:pPr>
      <w:r w:rsidRPr="00A442AE">
        <w:t>Se ligan a la orden de transmisión</w:t>
      </w:r>
    </w:p>
    <w:p w14:paraId="5FA734F7" w14:textId="77777777" w:rsidR="00EB1586" w:rsidRPr="00A442AE" w:rsidRDefault="00EB1586" w:rsidP="00D91DA4">
      <w:pPr>
        <w:pStyle w:val="Prrafodelista"/>
        <w:numPr>
          <w:ilvl w:val="0"/>
          <w:numId w:val="4"/>
        </w:numPr>
        <w:ind w:left="1080"/>
        <w:jc w:val="both"/>
      </w:pPr>
      <w:r w:rsidRPr="00A442AE">
        <w:t>Tipo de factura</w:t>
      </w:r>
    </w:p>
    <w:p w14:paraId="2CA7C5B1" w14:textId="77777777" w:rsidR="00EB1586" w:rsidRPr="00A442AE" w:rsidRDefault="00EB1586" w:rsidP="00D91DA4">
      <w:pPr>
        <w:pStyle w:val="Prrafodelista"/>
        <w:numPr>
          <w:ilvl w:val="1"/>
          <w:numId w:val="2"/>
        </w:numPr>
        <w:ind w:left="1800"/>
        <w:jc w:val="both"/>
      </w:pPr>
      <w:r w:rsidRPr="00A442AE">
        <w:t>Facturados</w:t>
      </w:r>
    </w:p>
    <w:p w14:paraId="3B57E899" w14:textId="77777777" w:rsidR="00EB1586" w:rsidRPr="00A442AE" w:rsidRDefault="00EB1586" w:rsidP="00D91DA4">
      <w:pPr>
        <w:pStyle w:val="Prrafodelista"/>
        <w:numPr>
          <w:ilvl w:val="1"/>
          <w:numId w:val="2"/>
        </w:numPr>
        <w:ind w:left="1800"/>
        <w:jc w:val="both"/>
      </w:pPr>
      <w:r w:rsidRPr="00A442AE">
        <w:t>No Facturados</w:t>
      </w:r>
    </w:p>
    <w:p w14:paraId="3683127E" w14:textId="77777777" w:rsidR="00EB1586" w:rsidRPr="00A442AE" w:rsidRDefault="00EB1586" w:rsidP="00EB1586">
      <w:pPr>
        <w:jc w:val="both"/>
      </w:pPr>
    </w:p>
    <w:p w14:paraId="5D694E9A" w14:textId="76BE1A1C" w:rsidR="00EB1586" w:rsidRPr="00A442AE" w:rsidRDefault="00EB1586" w:rsidP="00D91DA4">
      <w:pPr>
        <w:pStyle w:val="Prrafodelista"/>
        <w:numPr>
          <w:ilvl w:val="0"/>
          <w:numId w:val="3"/>
        </w:numPr>
        <w:jc w:val="both"/>
      </w:pPr>
      <w:r w:rsidRPr="00A442AE">
        <w:t>Notas de crédito</w:t>
      </w:r>
    </w:p>
    <w:p w14:paraId="2BF95A30" w14:textId="03DAF754" w:rsidR="00EB1586" w:rsidRPr="00A442AE" w:rsidRDefault="00EB1586" w:rsidP="00D91DA4">
      <w:pPr>
        <w:pStyle w:val="Prrafodelista"/>
        <w:numPr>
          <w:ilvl w:val="1"/>
          <w:numId w:val="3"/>
        </w:numPr>
        <w:ind w:left="1080"/>
        <w:jc w:val="both"/>
      </w:pPr>
      <w:r w:rsidRPr="00A442AE">
        <w:t xml:space="preserve">Se validan por Dirección de </w:t>
      </w:r>
      <w:r w:rsidR="00A442AE" w:rsidRPr="00A442AE">
        <w:t>área</w:t>
      </w:r>
      <w:r w:rsidR="00A442AE">
        <w:t>.</w:t>
      </w:r>
    </w:p>
    <w:p w14:paraId="1805C107" w14:textId="059B65DB" w:rsidR="00EB1586" w:rsidRPr="00A442AE" w:rsidRDefault="00EB1586" w:rsidP="00D91DA4">
      <w:pPr>
        <w:pStyle w:val="Prrafodelista"/>
        <w:numPr>
          <w:ilvl w:val="1"/>
          <w:numId w:val="3"/>
        </w:numPr>
        <w:ind w:left="1080"/>
        <w:jc w:val="both"/>
      </w:pPr>
      <w:r w:rsidRPr="00A442AE">
        <w:t xml:space="preserve">Condición de espera por 24 horas (Se </w:t>
      </w:r>
      <w:r w:rsidR="00A442AE" w:rsidRPr="00A442AE">
        <w:t>envían</w:t>
      </w:r>
      <w:r w:rsidRPr="00A442AE">
        <w:t xml:space="preserve"> todos los viernes y se tienen todo el lunes para validar, en caso de no tener respuesta, se tiene todo el martes para validar)</w:t>
      </w:r>
    </w:p>
    <w:p w14:paraId="2FCAD800" w14:textId="77777777" w:rsidR="00EB1586" w:rsidRPr="00A442AE" w:rsidRDefault="00EB1586" w:rsidP="00D91DA4">
      <w:pPr>
        <w:pStyle w:val="Prrafodelista"/>
        <w:numPr>
          <w:ilvl w:val="1"/>
          <w:numId w:val="3"/>
        </w:numPr>
        <w:ind w:left="1080"/>
        <w:jc w:val="both"/>
      </w:pPr>
      <w:r w:rsidRPr="00A442AE">
        <w:t>Una vez aprobadas se envían a:</w:t>
      </w:r>
    </w:p>
    <w:p w14:paraId="13CD4328" w14:textId="77777777" w:rsidR="00EB1586" w:rsidRPr="00A442AE" w:rsidRDefault="00EB1586" w:rsidP="00D91DA4">
      <w:pPr>
        <w:pStyle w:val="Prrafodelista"/>
        <w:numPr>
          <w:ilvl w:val="2"/>
          <w:numId w:val="3"/>
        </w:numPr>
        <w:ind w:left="1800"/>
        <w:jc w:val="both"/>
      </w:pPr>
      <w:r w:rsidRPr="00A442AE">
        <w:t>Contabilidad</w:t>
      </w:r>
    </w:p>
    <w:p w14:paraId="44961020" w14:textId="77777777" w:rsidR="00EB1586" w:rsidRPr="00A442AE" w:rsidRDefault="00EB1586" w:rsidP="00D91DA4">
      <w:pPr>
        <w:pStyle w:val="Prrafodelista"/>
        <w:numPr>
          <w:ilvl w:val="2"/>
          <w:numId w:val="3"/>
        </w:numPr>
        <w:ind w:left="1800"/>
        <w:jc w:val="both"/>
      </w:pPr>
      <w:r w:rsidRPr="00A442AE">
        <w:t>Cuentas por cobrar</w:t>
      </w:r>
    </w:p>
    <w:p w14:paraId="4BF5771D" w14:textId="77777777" w:rsidR="00EB1586" w:rsidRPr="00A442AE" w:rsidRDefault="00EB1586" w:rsidP="00D91DA4">
      <w:pPr>
        <w:pStyle w:val="Prrafodelista"/>
        <w:numPr>
          <w:ilvl w:val="2"/>
          <w:numId w:val="3"/>
        </w:numPr>
        <w:ind w:left="1800"/>
        <w:jc w:val="both"/>
      </w:pPr>
      <w:r w:rsidRPr="00A442AE">
        <w:t>Y a continuidad en caso de que sean por suspensión o cancelación de campaña.</w:t>
      </w:r>
    </w:p>
    <w:p w14:paraId="22E7650F" w14:textId="77777777" w:rsidR="00EB1586" w:rsidRPr="00A442AE" w:rsidRDefault="00EB1586" w:rsidP="00D91DA4">
      <w:pPr>
        <w:pStyle w:val="Prrafodelista"/>
        <w:numPr>
          <w:ilvl w:val="1"/>
          <w:numId w:val="3"/>
        </w:numPr>
        <w:ind w:left="1080"/>
        <w:jc w:val="both"/>
      </w:pPr>
      <w:r w:rsidRPr="00A442AE">
        <w:t>Se suscitan por:</w:t>
      </w:r>
    </w:p>
    <w:p w14:paraId="221CBBE7" w14:textId="77777777" w:rsidR="00EB1586" w:rsidRPr="00A442AE" w:rsidRDefault="00EB1586" w:rsidP="00D91DA4">
      <w:pPr>
        <w:pStyle w:val="Prrafodelista"/>
        <w:numPr>
          <w:ilvl w:val="2"/>
          <w:numId w:val="3"/>
        </w:numPr>
        <w:ind w:left="1800"/>
        <w:jc w:val="both"/>
      </w:pPr>
      <w:r w:rsidRPr="00A442AE">
        <w:t>Cancelación</w:t>
      </w:r>
    </w:p>
    <w:p w14:paraId="43616363" w14:textId="77777777" w:rsidR="00EB1586" w:rsidRPr="00A442AE" w:rsidRDefault="00EB1586" w:rsidP="00D91DA4">
      <w:pPr>
        <w:pStyle w:val="Prrafodelista"/>
        <w:numPr>
          <w:ilvl w:val="2"/>
          <w:numId w:val="3"/>
        </w:numPr>
        <w:ind w:left="1800"/>
        <w:jc w:val="both"/>
      </w:pPr>
      <w:r w:rsidRPr="00A442AE">
        <w:t>Suspensión</w:t>
      </w:r>
    </w:p>
    <w:p w14:paraId="0A2E97F9" w14:textId="77777777" w:rsidR="00EB1586" w:rsidRPr="00A442AE" w:rsidRDefault="00EB1586" w:rsidP="00D91DA4">
      <w:pPr>
        <w:pStyle w:val="Prrafodelista"/>
        <w:numPr>
          <w:ilvl w:val="2"/>
          <w:numId w:val="3"/>
        </w:numPr>
        <w:ind w:left="1800"/>
        <w:jc w:val="both"/>
      </w:pPr>
      <w:proofErr w:type="spellStart"/>
      <w:r w:rsidRPr="00A442AE">
        <w:t>Refacturación</w:t>
      </w:r>
      <w:proofErr w:type="spellEnd"/>
    </w:p>
    <w:p w14:paraId="3888D81D" w14:textId="77777777" w:rsidR="004B750B" w:rsidRPr="00A442AE" w:rsidRDefault="004B750B" w:rsidP="00D91DA4"/>
    <w:sectPr w:rsidR="004B750B" w:rsidRPr="00A442AE" w:rsidSect="004B750B">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5EC32" w14:textId="77777777" w:rsidR="00B74636" w:rsidRDefault="00B74636" w:rsidP="00067C08">
      <w:r>
        <w:separator/>
      </w:r>
    </w:p>
  </w:endnote>
  <w:endnote w:type="continuationSeparator" w:id="0">
    <w:p w14:paraId="6239F8DC" w14:textId="77777777" w:rsidR="00B74636" w:rsidRDefault="00B74636" w:rsidP="0006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4A4CF" w14:textId="77777777" w:rsidR="00067C08" w:rsidRDefault="00B74636" w:rsidP="00067C08">
    <w:pPr>
      <w:pStyle w:val="Piedepgina"/>
      <w:jc w:val="center"/>
    </w:pPr>
    <w:hyperlink r:id="rId1" w:history="1">
      <w:r w:rsidR="00067C08" w:rsidRPr="00F5337E">
        <w:rPr>
          <w:rStyle w:val="Hipervnculo"/>
        </w:rPr>
        <w:t>www.duxstar.com</w:t>
      </w:r>
    </w:hyperlink>
    <w:r w:rsidR="00067C08">
      <w:t xml:space="preserve">  Tel: (33)3268-3700  </w:t>
    </w:r>
    <w:hyperlink r:id="rId2" w:history="1">
      <w:r w:rsidR="00067C08" w:rsidRPr="00F5337E">
        <w:rPr>
          <w:rStyle w:val="Hipervnculo"/>
        </w:rPr>
        <w:t>contacto@duxstar.com</w:t>
      </w:r>
    </w:hyperlink>
  </w:p>
  <w:p w14:paraId="79971143" w14:textId="77777777" w:rsidR="00067C08" w:rsidRDefault="00067C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1D4D3" w14:textId="77777777" w:rsidR="00B74636" w:rsidRDefault="00B74636" w:rsidP="00067C08">
      <w:r>
        <w:separator/>
      </w:r>
    </w:p>
  </w:footnote>
  <w:footnote w:type="continuationSeparator" w:id="0">
    <w:p w14:paraId="0D408998" w14:textId="77777777" w:rsidR="00B74636" w:rsidRDefault="00B74636" w:rsidP="00067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6420" w14:textId="707A994F" w:rsidR="00067C08" w:rsidRDefault="00067C08">
    <w:pPr>
      <w:pStyle w:val="Encabezado"/>
    </w:pPr>
    <w:r>
      <w:rPr>
        <w:noProof/>
        <w:lang w:val="es-MX" w:eastAsia="es-MX"/>
      </w:rPr>
      <w:drawing>
        <wp:anchor distT="0" distB="0" distL="114300" distR="114300" simplePos="0" relativeHeight="251659264" behindDoc="0" locked="0" layoutInCell="1" allowOverlap="1" wp14:anchorId="2A584ED5" wp14:editId="18D500D9">
          <wp:simplePos x="0" y="0"/>
          <wp:positionH relativeFrom="column">
            <wp:posOffset>-939165</wp:posOffset>
          </wp:positionH>
          <wp:positionV relativeFrom="paragraph">
            <wp:posOffset>-305435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526"/>
    <w:multiLevelType w:val="hybridMultilevel"/>
    <w:tmpl w:val="782A4C9A"/>
    <w:lvl w:ilvl="0" w:tplc="04090003">
      <w:start w:val="1"/>
      <w:numFmt w:val="bullet"/>
      <w:lvlText w:val="o"/>
      <w:lvlJc w:val="left"/>
      <w:pPr>
        <w:ind w:left="720" w:hanging="360"/>
      </w:pPr>
      <w:rPr>
        <w:rFonts w:ascii="Courier New" w:hAnsi="Courier New"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0F6EB9"/>
    <w:multiLevelType w:val="hybridMultilevel"/>
    <w:tmpl w:val="E0B40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A4B19"/>
    <w:multiLevelType w:val="hybridMultilevel"/>
    <w:tmpl w:val="9D44D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86"/>
    <w:rsid w:val="00067C08"/>
    <w:rsid w:val="004B750B"/>
    <w:rsid w:val="00775341"/>
    <w:rsid w:val="00A442AE"/>
    <w:rsid w:val="00B74636"/>
    <w:rsid w:val="00D67395"/>
    <w:rsid w:val="00D91DA4"/>
    <w:rsid w:val="00E41117"/>
    <w:rsid w:val="00EB15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B657B"/>
  <w14:defaultImageDpi w14:val="300"/>
  <w15:docId w15:val="{4B64788F-76DF-4568-B170-76C2DCE2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586"/>
    <w:rPr>
      <w:lang w:eastAsia="es-ES"/>
    </w:rPr>
  </w:style>
  <w:style w:type="paragraph" w:styleId="Ttulo1">
    <w:name w:val="heading 1"/>
    <w:basedOn w:val="Normal"/>
    <w:next w:val="Normal"/>
    <w:link w:val="Ttulo1Car"/>
    <w:uiPriority w:val="9"/>
    <w:qFormat/>
    <w:rsid w:val="00EB15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586"/>
    <w:pPr>
      <w:ind w:left="720"/>
      <w:contextualSpacing/>
    </w:pPr>
  </w:style>
  <w:style w:type="character" w:customStyle="1" w:styleId="Ttulo1Car">
    <w:name w:val="Título 1 Car"/>
    <w:basedOn w:val="Fuentedeprrafopredeter"/>
    <w:link w:val="Ttulo1"/>
    <w:uiPriority w:val="9"/>
    <w:rsid w:val="00EB1586"/>
    <w:rPr>
      <w:rFonts w:asciiTheme="majorHAnsi" w:eastAsiaTheme="majorEastAsia" w:hAnsiTheme="majorHAnsi" w:cstheme="majorBidi"/>
      <w:b/>
      <w:bCs/>
      <w:color w:val="345A8A" w:themeColor="accent1" w:themeShade="B5"/>
      <w:sz w:val="32"/>
      <w:szCs w:val="32"/>
      <w:lang w:eastAsia="es-ES"/>
    </w:rPr>
  </w:style>
  <w:style w:type="paragraph" w:styleId="Encabezado">
    <w:name w:val="header"/>
    <w:basedOn w:val="Normal"/>
    <w:link w:val="EncabezadoCar"/>
    <w:uiPriority w:val="99"/>
    <w:unhideWhenUsed/>
    <w:rsid w:val="00067C08"/>
    <w:pPr>
      <w:tabs>
        <w:tab w:val="center" w:pos="4153"/>
        <w:tab w:val="right" w:pos="8306"/>
      </w:tabs>
    </w:pPr>
  </w:style>
  <w:style w:type="character" w:customStyle="1" w:styleId="EncabezadoCar">
    <w:name w:val="Encabezado Car"/>
    <w:basedOn w:val="Fuentedeprrafopredeter"/>
    <w:link w:val="Encabezado"/>
    <w:uiPriority w:val="99"/>
    <w:rsid w:val="00067C08"/>
    <w:rPr>
      <w:lang w:eastAsia="es-ES"/>
    </w:rPr>
  </w:style>
  <w:style w:type="paragraph" w:styleId="Piedepgina">
    <w:name w:val="footer"/>
    <w:basedOn w:val="Normal"/>
    <w:link w:val="PiedepginaCar"/>
    <w:uiPriority w:val="99"/>
    <w:unhideWhenUsed/>
    <w:rsid w:val="00067C08"/>
    <w:pPr>
      <w:tabs>
        <w:tab w:val="center" w:pos="4153"/>
        <w:tab w:val="right" w:pos="8306"/>
      </w:tabs>
    </w:pPr>
  </w:style>
  <w:style w:type="character" w:customStyle="1" w:styleId="PiedepginaCar">
    <w:name w:val="Pie de página Car"/>
    <w:basedOn w:val="Fuentedeprrafopredeter"/>
    <w:link w:val="Piedepgina"/>
    <w:uiPriority w:val="99"/>
    <w:rsid w:val="00067C08"/>
    <w:rPr>
      <w:lang w:eastAsia="es-ES"/>
    </w:rPr>
  </w:style>
  <w:style w:type="character" w:styleId="Hipervnculo">
    <w:name w:val="Hyperlink"/>
    <w:basedOn w:val="Fuentedeprrafopredeter"/>
    <w:uiPriority w:val="99"/>
    <w:unhideWhenUsed/>
    <w:rsid w:val="00067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Durán Cobián</dc:creator>
  <cp:keywords/>
  <dc:description/>
  <cp:lastModifiedBy>Connie Larios</cp:lastModifiedBy>
  <cp:revision>5</cp:revision>
  <cp:lastPrinted>2015-03-20T15:16:00Z</cp:lastPrinted>
  <dcterms:created xsi:type="dcterms:W3CDTF">2015-03-13T16:33:00Z</dcterms:created>
  <dcterms:modified xsi:type="dcterms:W3CDTF">2015-03-25T16:05:00Z</dcterms:modified>
</cp:coreProperties>
</file>