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GridTable1LightAccent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Cliente: </w:t>
            </w:r>
            <w:r w:rsidR="001867C0" w:rsidRPr="001867C0">
              <w:rPr>
                <w:rFonts w:cs="Arial"/>
                <w:bCs/>
                <w:sz w:val="20"/>
                <w:szCs w:val="20"/>
                <w:lang w:val="es-UY" w:eastAsia="ar-SA"/>
              </w:rPr>
              <w:t>La Costeña</w:t>
            </w:r>
          </w:p>
        </w:tc>
        <w:tc>
          <w:tcPr>
            <w:tcW w:w="5051" w:type="dxa"/>
            <w:gridSpan w:val="2"/>
          </w:tcPr>
          <w:p w:rsidR="002F7E26" w:rsidRPr="00BC2E14" w:rsidRDefault="002F7E26" w:rsidP="00E82773">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1867C0" w:rsidRPr="001867C0">
              <w:rPr>
                <w:rFonts w:cs="Arial"/>
                <w:bCs/>
                <w:sz w:val="20"/>
                <w:szCs w:val="20"/>
                <w:lang w:val="es-UY" w:eastAsia="ar-SA"/>
              </w:rPr>
              <w:t>2</w:t>
            </w:r>
            <w:r w:rsidR="00E82773">
              <w:rPr>
                <w:rFonts w:cs="Arial"/>
                <w:bCs/>
                <w:sz w:val="20"/>
                <w:szCs w:val="20"/>
                <w:lang w:val="es-UY" w:eastAsia="ar-SA"/>
              </w:rPr>
              <w:t>2</w:t>
            </w:r>
            <w:r w:rsidR="001867C0" w:rsidRPr="001867C0">
              <w:rPr>
                <w:rFonts w:cs="Arial"/>
                <w:bCs/>
                <w:sz w:val="20"/>
                <w:szCs w:val="20"/>
                <w:lang w:val="es-UY" w:eastAsia="ar-SA"/>
              </w:rPr>
              <w:t>-09-2015</w:t>
            </w:r>
          </w:p>
        </w:tc>
      </w:tr>
      <w:tr w:rsidR="006D33A1" w:rsidTr="00D23587">
        <w:trPr>
          <w:trHeight w:val="333"/>
        </w:trPr>
        <w:tc>
          <w:tcPr>
            <w:tcW w:w="4846" w:type="dxa"/>
          </w:tcPr>
          <w:p w:rsidR="006D33A1" w:rsidRPr="00BC2E14" w:rsidRDefault="006D33A1" w:rsidP="007B4BD5">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7B4BD5" w:rsidRPr="007B4BD5">
              <w:rPr>
                <w:rFonts w:cs="Arial"/>
                <w:bCs/>
                <w:sz w:val="20"/>
                <w:szCs w:val="20"/>
                <w:lang w:val="es-UY" w:eastAsia="ar-SA"/>
              </w:rPr>
              <w:t>Conferencia telefónica</w:t>
            </w:r>
          </w:p>
        </w:tc>
        <w:tc>
          <w:tcPr>
            <w:tcW w:w="2525" w:type="dxa"/>
          </w:tcPr>
          <w:p w:rsidR="006D33A1" w:rsidRPr="00BC2E14" w:rsidRDefault="006D33A1" w:rsidP="00400661">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400661">
              <w:rPr>
                <w:rFonts w:cs="Arial"/>
                <w:bCs/>
                <w:sz w:val="20"/>
                <w:szCs w:val="20"/>
                <w:lang w:val="es-UY" w:eastAsia="ar-SA"/>
              </w:rPr>
              <w:t>10:00</w:t>
            </w:r>
            <w:r w:rsidR="000E361D" w:rsidRPr="000E361D">
              <w:rPr>
                <w:rFonts w:cs="Arial"/>
                <w:bCs/>
                <w:sz w:val="20"/>
                <w:szCs w:val="20"/>
                <w:lang w:val="es-UY" w:eastAsia="ar-SA"/>
              </w:rPr>
              <w:t xml:space="preserve"> am</w:t>
            </w:r>
          </w:p>
        </w:tc>
        <w:tc>
          <w:tcPr>
            <w:tcW w:w="2526" w:type="dxa"/>
          </w:tcPr>
          <w:p w:rsidR="006D33A1" w:rsidRPr="00BC2E14" w:rsidRDefault="006D33A1" w:rsidP="00400661">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400661">
              <w:rPr>
                <w:rFonts w:cs="Arial"/>
                <w:bCs/>
                <w:sz w:val="20"/>
                <w:szCs w:val="20"/>
                <w:lang w:val="es-UY" w:eastAsia="ar-SA"/>
              </w:rPr>
              <w:t>11</w:t>
            </w:r>
            <w:r w:rsidR="000E361D" w:rsidRPr="000E361D">
              <w:rPr>
                <w:rFonts w:cs="Arial"/>
                <w:bCs/>
                <w:sz w:val="20"/>
                <w:szCs w:val="20"/>
                <w:lang w:val="es-UY" w:eastAsia="ar-SA"/>
              </w:rPr>
              <w:t>:2</w:t>
            </w:r>
            <w:r w:rsidR="00400661">
              <w:rPr>
                <w:rFonts w:cs="Arial"/>
                <w:bCs/>
                <w:sz w:val="20"/>
                <w:szCs w:val="20"/>
                <w:lang w:val="es-UY" w:eastAsia="ar-SA"/>
              </w:rPr>
              <w:t>0</w:t>
            </w:r>
            <w:r w:rsidR="000E361D" w:rsidRPr="000E361D">
              <w:rPr>
                <w:rFonts w:cs="Arial"/>
                <w:bCs/>
                <w:sz w:val="20"/>
                <w:szCs w:val="20"/>
                <w:lang w:val="es-UY" w:eastAsia="ar-SA"/>
              </w:rPr>
              <w:t xml:space="preserve"> am</w:t>
            </w:r>
          </w:p>
        </w:tc>
      </w:tr>
      <w:tr w:rsidR="000C4A2D" w:rsidTr="00D23587">
        <w:trPr>
          <w:trHeight w:val="333"/>
        </w:trPr>
        <w:tc>
          <w:tcPr>
            <w:tcW w:w="9897" w:type="dxa"/>
            <w:gridSpan w:val="3"/>
          </w:tcPr>
          <w:p w:rsidR="000C4A2D" w:rsidRPr="00BC2E14" w:rsidRDefault="000C4A2D" w:rsidP="00CC035A">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BC2E14">
              <w:rPr>
                <w:rFonts w:cs="Arial"/>
                <w:b/>
                <w:bCs/>
                <w:sz w:val="20"/>
                <w:szCs w:val="20"/>
                <w:lang w:val="es-MX" w:eastAsia="ar-SA"/>
              </w:rPr>
              <w:t xml:space="preserve"> </w:t>
            </w:r>
            <w:r w:rsidR="00CC035A">
              <w:rPr>
                <w:rFonts w:cs="Arial"/>
                <w:bCs/>
                <w:sz w:val="20"/>
                <w:szCs w:val="20"/>
                <w:lang w:val="es-MX" w:eastAsia="ar-SA"/>
              </w:rPr>
              <w:t>Revisión de problema con asignación de más de un CEDI a Rutas y Clientes de Grupo Masivo</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792D31" w:rsidRDefault="00792D31"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La Costeña</w:t>
            </w:r>
          </w:p>
          <w:p w:rsidR="00BC2E14" w:rsidRPr="00242D3B" w:rsidRDefault="00792D31"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Carlos Olivas</w:t>
            </w:r>
          </w:p>
          <w:p w:rsidR="00792D31" w:rsidRPr="00242D3B" w:rsidRDefault="00792D31"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Ileana Lozano</w:t>
            </w:r>
          </w:p>
          <w:p w:rsidR="00792D31" w:rsidRDefault="00792D31" w:rsidP="00792D31">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Duxstar</w:t>
            </w:r>
          </w:p>
          <w:p w:rsidR="00792D31" w:rsidRPr="00242D3B" w:rsidRDefault="00792D31" w:rsidP="00792D31">
            <w:pPr>
              <w:pStyle w:val="Prrafodelista"/>
              <w:widowControl w:val="0"/>
              <w:numPr>
                <w:ilvl w:val="0"/>
                <w:numId w:val="15"/>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Paula Rojas</w:t>
            </w:r>
          </w:p>
        </w:tc>
      </w:tr>
      <w:tr w:rsidR="002F7E26" w:rsidTr="00D23587">
        <w:trPr>
          <w:trHeight w:val="334"/>
        </w:trPr>
        <w:tc>
          <w:tcPr>
            <w:tcW w:w="9897" w:type="dxa"/>
            <w:gridSpan w:val="3"/>
          </w:tcPr>
          <w:p w:rsidR="002F7E26" w:rsidRPr="00B325DF" w:rsidRDefault="002F7E26" w:rsidP="002F7E26">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Ausentes: </w:t>
            </w:r>
            <w:r w:rsidR="00264DBC" w:rsidRPr="00264DBC">
              <w:rPr>
                <w:rFonts w:cs="Arial"/>
                <w:bCs/>
                <w:sz w:val="20"/>
                <w:szCs w:val="20"/>
                <w:lang w:val="es-UY" w:eastAsia="ar-SA"/>
              </w:rPr>
              <w:t>N/A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GridTable1LightAccent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5079F1" w:rsidP="00B325DF">
            <w:pPr>
              <w:jc w:val="center"/>
              <w:rPr>
                <w:sz w:val="20"/>
                <w:szCs w:val="20"/>
                <w:lang w:val="es-MX" w:eastAsia="ar-SA"/>
              </w:rPr>
            </w:pPr>
            <w:r>
              <w:rPr>
                <w:sz w:val="20"/>
                <w:szCs w:val="20"/>
                <w:lang w:val="es-MX" w:eastAsia="ar-SA"/>
              </w:rPr>
              <w:t>1</w:t>
            </w:r>
          </w:p>
        </w:tc>
        <w:tc>
          <w:tcPr>
            <w:tcW w:w="9166" w:type="dxa"/>
          </w:tcPr>
          <w:p w:rsidR="00343E76" w:rsidRPr="00343E76" w:rsidRDefault="004A61F8" w:rsidP="00343E76">
            <w:pPr>
              <w:rPr>
                <w:b/>
                <w:color w:val="000000"/>
                <w:sz w:val="20"/>
                <w:szCs w:val="20"/>
              </w:rPr>
            </w:pPr>
            <w:r>
              <w:rPr>
                <w:b/>
                <w:color w:val="000000"/>
                <w:sz w:val="20"/>
                <w:szCs w:val="20"/>
              </w:rPr>
              <w:t xml:space="preserve">Planteamiento del problema con la asignación de </w:t>
            </w:r>
            <w:r w:rsidR="00262331">
              <w:rPr>
                <w:b/>
                <w:color w:val="000000"/>
                <w:sz w:val="20"/>
                <w:szCs w:val="20"/>
              </w:rPr>
              <w:t>más</w:t>
            </w:r>
            <w:r>
              <w:rPr>
                <w:b/>
                <w:color w:val="000000"/>
                <w:sz w:val="20"/>
                <w:szCs w:val="20"/>
              </w:rPr>
              <w:t xml:space="preserve"> de un CEDI a los Clientes y Rutas de Grupo Masivo</w:t>
            </w:r>
          </w:p>
          <w:p w:rsidR="00262331" w:rsidRDefault="00262331" w:rsidP="00262331">
            <w:pPr>
              <w:pStyle w:val="Prrafodelista"/>
              <w:numPr>
                <w:ilvl w:val="0"/>
                <w:numId w:val="15"/>
              </w:numPr>
              <w:rPr>
                <w:color w:val="000000"/>
                <w:sz w:val="20"/>
                <w:szCs w:val="20"/>
              </w:rPr>
            </w:pPr>
            <w:r>
              <w:rPr>
                <w:color w:val="000000"/>
                <w:sz w:val="20"/>
                <w:szCs w:val="20"/>
              </w:rPr>
              <w:t>Se explica a Costeña las implicaciones de asignar más de un CEDI a los Clientes y Rutas de Grupo masivo y se busca en conjunto alternativas para afrontar el problema.</w:t>
            </w:r>
          </w:p>
          <w:p w:rsidR="00262331" w:rsidRPr="00262331" w:rsidRDefault="00262331" w:rsidP="00262331">
            <w:pPr>
              <w:pStyle w:val="Prrafodelista"/>
              <w:numPr>
                <w:ilvl w:val="0"/>
                <w:numId w:val="15"/>
              </w:numPr>
              <w:rPr>
                <w:color w:val="000000"/>
                <w:sz w:val="20"/>
                <w:szCs w:val="20"/>
              </w:rPr>
            </w:pPr>
            <w:r w:rsidRPr="00262331">
              <w:rPr>
                <w:rFonts w:cs="Arial"/>
                <w:sz w:val="20"/>
                <w:szCs w:val="20"/>
              </w:rPr>
              <w:t>En la conferencia manejamos la opción de agrupar todos los CEDIS en uno solo, ya que al parecer para los permisos no interesa el CEDI asignado, sin embargo esta opción no filtraría los productos que en realidad puede vender una ruta; en este caso el manejo lo hacen más por Organización de ventas del cliente, que por CEDI al que pertenece la ruta</w:t>
            </w:r>
          </w:p>
        </w:tc>
      </w:tr>
      <w:tr w:rsidR="00B325DF" w:rsidRPr="003A53E1" w:rsidTr="00D23587">
        <w:trPr>
          <w:trHeight w:val="238"/>
        </w:trPr>
        <w:tc>
          <w:tcPr>
            <w:tcW w:w="757" w:type="dxa"/>
          </w:tcPr>
          <w:p w:rsidR="00B325DF" w:rsidRPr="003A53E1" w:rsidRDefault="00343E76" w:rsidP="00B325DF">
            <w:pPr>
              <w:jc w:val="center"/>
              <w:rPr>
                <w:sz w:val="20"/>
                <w:szCs w:val="20"/>
                <w:lang w:val="es-MX" w:eastAsia="ar-SA"/>
              </w:rPr>
            </w:pPr>
            <w:r>
              <w:rPr>
                <w:sz w:val="20"/>
                <w:szCs w:val="20"/>
                <w:lang w:val="es-MX" w:eastAsia="ar-SA"/>
              </w:rPr>
              <w:t>2</w:t>
            </w:r>
          </w:p>
        </w:tc>
        <w:tc>
          <w:tcPr>
            <w:tcW w:w="9166" w:type="dxa"/>
          </w:tcPr>
          <w:p w:rsidR="00B325DF" w:rsidRDefault="007C7329" w:rsidP="00BF34C4">
            <w:pPr>
              <w:rPr>
                <w:b/>
                <w:color w:val="000000"/>
                <w:sz w:val="20"/>
                <w:szCs w:val="20"/>
              </w:rPr>
            </w:pPr>
            <w:r>
              <w:rPr>
                <w:b/>
                <w:color w:val="000000"/>
                <w:sz w:val="20"/>
                <w:szCs w:val="20"/>
              </w:rPr>
              <w:t>Instancia separada para Grupo Masivo</w:t>
            </w:r>
            <w:r w:rsidR="00ED0341" w:rsidRPr="00ED0341">
              <w:rPr>
                <w:b/>
                <w:color w:val="000000"/>
                <w:sz w:val="20"/>
                <w:szCs w:val="20"/>
              </w:rPr>
              <w:t>.</w:t>
            </w:r>
          </w:p>
          <w:p w:rsidR="00A33093" w:rsidRDefault="0094535D" w:rsidP="00A33093">
            <w:pPr>
              <w:pStyle w:val="Prrafodelista"/>
              <w:numPr>
                <w:ilvl w:val="0"/>
                <w:numId w:val="16"/>
              </w:numPr>
              <w:rPr>
                <w:color w:val="000000"/>
                <w:sz w:val="20"/>
                <w:szCs w:val="20"/>
              </w:rPr>
            </w:pPr>
            <w:r>
              <w:rPr>
                <w:color w:val="000000"/>
                <w:sz w:val="20"/>
                <w:szCs w:val="20"/>
              </w:rPr>
              <w:t>Para intentar minimizar confusiones y complejidad en la configuración, Costeña propone</w:t>
            </w:r>
            <w:r w:rsidR="00A33093">
              <w:rPr>
                <w:color w:val="000000"/>
                <w:sz w:val="20"/>
                <w:szCs w:val="20"/>
              </w:rPr>
              <w:t xml:space="preserve"> manejar una instancia del sistema separada de las rutas de detalle.</w:t>
            </w:r>
          </w:p>
          <w:p w:rsidR="00A33093" w:rsidRPr="00A33093" w:rsidRDefault="00A33093" w:rsidP="00A33093">
            <w:pPr>
              <w:pStyle w:val="Prrafodelista"/>
              <w:numPr>
                <w:ilvl w:val="0"/>
                <w:numId w:val="16"/>
              </w:numPr>
              <w:rPr>
                <w:color w:val="000000"/>
                <w:sz w:val="20"/>
                <w:szCs w:val="20"/>
              </w:rPr>
            </w:pPr>
            <w:r>
              <w:rPr>
                <w:color w:val="000000"/>
                <w:sz w:val="20"/>
                <w:szCs w:val="20"/>
              </w:rPr>
              <w:t>Con la premisa de la separación de la base de datos, se generarán IDOCS separados para rutas de detalle y rutas de masivo.</w:t>
            </w:r>
          </w:p>
        </w:tc>
      </w:tr>
      <w:tr w:rsidR="007B494F" w:rsidRPr="003A53E1" w:rsidTr="00D23587">
        <w:trPr>
          <w:trHeight w:val="238"/>
        </w:trPr>
        <w:tc>
          <w:tcPr>
            <w:tcW w:w="757" w:type="dxa"/>
          </w:tcPr>
          <w:p w:rsidR="007B494F" w:rsidRPr="007B494F" w:rsidRDefault="007B494F" w:rsidP="00B325DF">
            <w:pPr>
              <w:jc w:val="center"/>
              <w:rPr>
                <w:b/>
                <w:sz w:val="20"/>
                <w:szCs w:val="20"/>
                <w:lang w:val="es-MX" w:eastAsia="ar-SA"/>
              </w:rPr>
            </w:pPr>
            <w:r w:rsidRPr="007B494F">
              <w:rPr>
                <w:b/>
                <w:sz w:val="20"/>
                <w:szCs w:val="20"/>
                <w:lang w:val="es-MX" w:eastAsia="ar-SA"/>
              </w:rPr>
              <w:t>3</w:t>
            </w:r>
          </w:p>
        </w:tc>
        <w:tc>
          <w:tcPr>
            <w:tcW w:w="9166" w:type="dxa"/>
          </w:tcPr>
          <w:p w:rsidR="007B494F" w:rsidRDefault="00A33093" w:rsidP="007B494F">
            <w:pPr>
              <w:rPr>
                <w:b/>
                <w:color w:val="000000"/>
                <w:sz w:val="20"/>
                <w:szCs w:val="20"/>
              </w:rPr>
            </w:pPr>
            <w:r>
              <w:rPr>
                <w:b/>
                <w:color w:val="000000"/>
                <w:sz w:val="20"/>
                <w:szCs w:val="20"/>
              </w:rPr>
              <w:t>Usuarios de sistema para Grupo Masivo.</w:t>
            </w:r>
          </w:p>
          <w:p w:rsidR="00F229C2" w:rsidRPr="00F229C2" w:rsidRDefault="00A33093" w:rsidP="00F229C2">
            <w:pPr>
              <w:pStyle w:val="Prrafodelista"/>
              <w:numPr>
                <w:ilvl w:val="0"/>
                <w:numId w:val="22"/>
              </w:numPr>
              <w:rPr>
                <w:b/>
                <w:sz w:val="20"/>
                <w:szCs w:val="20"/>
              </w:rPr>
            </w:pPr>
            <w:r w:rsidRPr="00A60A11">
              <w:rPr>
                <w:sz w:val="20"/>
                <w:szCs w:val="20"/>
              </w:rPr>
              <w:t xml:space="preserve">Se acordó que en el caso de los vendedores de </w:t>
            </w:r>
            <w:r w:rsidR="00A60A11" w:rsidRPr="00A60A11">
              <w:rPr>
                <w:sz w:val="20"/>
                <w:szCs w:val="20"/>
              </w:rPr>
              <w:t>masivo, los usuarios de sistema relacionados no serán obtenidos de ZEMPLEA. Se creará</w:t>
            </w:r>
            <w:r w:rsidR="00A60A11" w:rsidRPr="00A60A11">
              <w:rPr>
                <w:sz w:val="20"/>
                <w:szCs w:val="20"/>
              </w:rPr>
              <w:t xml:space="preserve"> un usuario por cada ruta con la misma clave obtenida del GrupoVendedores.</w:t>
            </w:r>
            <w:r w:rsidR="00F229C2">
              <w:rPr>
                <w:sz w:val="20"/>
                <w:szCs w:val="20"/>
              </w:rPr>
              <w:t xml:space="preserve"> Como descripción del usuario se tomara la Descripción del GrupoVendedores.</w:t>
            </w: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Compromisos</w:t>
      </w:r>
    </w:p>
    <w:p w:rsidR="002F7E26" w:rsidRDefault="002F7E26" w:rsidP="002F7E26">
      <w:pPr>
        <w:rPr>
          <w:rFonts w:cs="Arial"/>
          <w:b/>
          <w:bCs/>
        </w:rPr>
      </w:pPr>
    </w:p>
    <w:tbl>
      <w:tblPr>
        <w:tblStyle w:val="GridTable1LightAccent5"/>
        <w:tblW w:w="0" w:type="auto"/>
        <w:tblLayout w:type="fixed"/>
        <w:tblLook w:val="0000" w:firstRow="0" w:lastRow="0" w:firstColumn="0" w:lastColumn="0" w:noHBand="0" w:noVBand="0"/>
      </w:tblPr>
      <w:tblGrid>
        <w:gridCol w:w="757"/>
        <w:gridCol w:w="5480"/>
        <w:gridCol w:w="1526"/>
        <w:gridCol w:w="2126"/>
      </w:tblGrid>
      <w:tr w:rsidR="00D34D19" w:rsidRPr="00D34D19" w:rsidTr="00D34D19">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80"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80" w:type="dxa"/>
          </w:tcPr>
          <w:p w:rsidR="00064920" w:rsidRPr="00262331" w:rsidRDefault="00262331" w:rsidP="0056249F">
            <w:pPr>
              <w:jc w:val="both"/>
              <w:rPr>
                <w:color w:val="000000"/>
                <w:sz w:val="20"/>
                <w:szCs w:val="20"/>
              </w:rPr>
            </w:pPr>
            <w:r w:rsidRPr="00262331">
              <w:rPr>
                <w:sz w:val="20"/>
                <w:szCs w:val="20"/>
              </w:rPr>
              <w:t>Costeña le hará llegar al equipo Duxstar un documento que explique más a detalle las diferencias entre el canal de detalle y el canal de masivo</w:t>
            </w:r>
            <w:r w:rsidR="005213F8">
              <w:rPr>
                <w:sz w:val="20"/>
                <w:szCs w:val="20"/>
              </w:rPr>
              <w:t>.</w:t>
            </w:r>
          </w:p>
        </w:tc>
        <w:tc>
          <w:tcPr>
            <w:tcW w:w="1526" w:type="dxa"/>
          </w:tcPr>
          <w:p w:rsidR="002F7E26" w:rsidRPr="003A53E1" w:rsidRDefault="00262331" w:rsidP="00317A9E">
            <w:pPr>
              <w:rPr>
                <w:sz w:val="20"/>
                <w:szCs w:val="20"/>
              </w:rPr>
            </w:pPr>
            <w:r>
              <w:rPr>
                <w:sz w:val="20"/>
                <w:szCs w:val="20"/>
              </w:rPr>
              <w:t>Carlos Olivas</w:t>
            </w:r>
          </w:p>
        </w:tc>
        <w:tc>
          <w:tcPr>
            <w:tcW w:w="2126" w:type="dxa"/>
          </w:tcPr>
          <w:p w:rsidR="002F7E26" w:rsidRPr="003A53E1" w:rsidRDefault="00643F55" w:rsidP="00317A9E">
            <w:pPr>
              <w:rPr>
                <w:sz w:val="20"/>
                <w:szCs w:val="20"/>
                <w:lang w:val="es-UY"/>
              </w:rPr>
            </w:pPr>
            <w:r>
              <w:rPr>
                <w:sz w:val="20"/>
                <w:szCs w:val="20"/>
                <w:lang w:val="es-UY"/>
              </w:rPr>
              <w:t>A la brevedad</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2</w:t>
            </w:r>
          </w:p>
        </w:tc>
        <w:tc>
          <w:tcPr>
            <w:tcW w:w="5480" w:type="dxa"/>
          </w:tcPr>
          <w:p w:rsidR="002F7E26" w:rsidRPr="003A53E1" w:rsidRDefault="005A1B23" w:rsidP="0056249F">
            <w:pPr>
              <w:jc w:val="both"/>
              <w:rPr>
                <w:color w:val="000000"/>
                <w:sz w:val="20"/>
                <w:szCs w:val="20"/>
              </w:rPr>
            </w:pPr>
            <w:r>
              <w:rPr>
                <w:color w:val="000000"/>
                <w:sz w:val="20"/>
                <w:szCs w:val="20"/>
              </w:rPr>
              <w:t xml:space="preserve">Duxstar revisará </w:t>
            </w:r>
            <w:r w:rsidR="002C4527">
              <w:rPr>
                <w:color w:val="000000"/>
                <w:sz w:val="20"/>
                <w:szCs w:val="20"/>
              </w:rPr>
              <w:t>el tema de la separación de Bases de Datos</w:t>
            </w:r>
            <w:r w:rsidR="0083088A">
              <w:rPr>
                <w:color w:val="000000"/>
                <w:sz w:val="20"/>
                <w:szCs w:val="20"/>
              </w:rPr>
              <w:t xml:space="preserve"> para Grupo Masivo</w:t>
            </w:r>
            <w:r w:rsidR="007150CD">
              <w:rPr>
                <w:color w:val="000000"/>
                <w:sz w:val="20"/>
                <w:szCs w:val="20"/>
              </w:rPr>
              <w:t xml:space="preserve">, para indicar a Costeña las </w:t>
            </w:r>
            <w:r w:rsidR="007150CD">
              <w:rPr>
                <w:color w:val="000000"/>
                <w:sz w:val="20"/>
                <w:szCs w:val="20"/>
              </w:rPr>
              <w:lastRenderedPageBreak/>
              <w:t>implicaciones en cuanto a licenciamiento.</w:t>
            </w:r>
          </w:p>
        </w:tc>
        <w:tc>
          <w:tcPr>
            <w:tcW w:w="1526" w:type="dxa"/>
          </w:tcPr>
          <w:p w:rsidR="002F7E26" w:rsidRPr="003A53E1" w:rsidRDefault="007150CD" w:rsidP="00317A9E">
            <w:pPr>
              <w:rPr>
                <w:sz w:val="20"/>
                <w:szCs w:val="20"/>
              </w:rPr>
            </w:pPr>
            <w:r>
              <w:rPr>
                <w:sz w:val="20"/>
                <w:szCs w:val="20"/>
              </w:rPr>
              <w:lastRenderedPageBreak/>
              <w:t>Paula Rojas</w:t>
            </w:r>
          </w:p>
        </w:tc>
        <w:tc>
          <w:tcPr>
            <w:tcW w:w="2126" w:type="dxa"/>
          </w:tcPr>
          <w:p w:rsidR="002F7E26" w:rsidRPr="003A53E1" w:rsidRDefault="004669DD" w:rsidP="00317A9E">
            <w:pPr>
              <w:rPr>
                <w:sz w:val="20"/>
                <w:szCs w:val="20"/>
                <w:lang w:val="es-UY"/>
              </w:rPr>
            </w:pPr>
            <w:r>
              <w:rPr>
                <w:sz w:val="20"/>
                <w:szCs w:val="20"/>
                <w:lang w:val="es-UY"/>
              </w:rPr>
              <w:t>A la brevedad</w:t>
            </w:r>
          </w:p>
        </w:tc>
      </w:tr>
      <w:tr w:rsidR="007B494F" w:rsidRPr="003A53E1" w:rsidTr="00D23587">
        <w:trPr>
          <w:trHeight w:val="238"/>
        </w:trPr>
        <w:tc>
          <w:tcPr>
            <w:tcW w:w="757" w:type="dxa"/>
          </w:tcPr>
          <w:p w:rsidR="007B494F" w:rsidRPr="003A53E1" w:rsidRDefault="00063A35" w:rsidP="00B325DF">
            <w:pPr>
              <w:jc w:val="center"/>
              <w:rPr>
                <w:sz w:val="20"/>
                <w:szCs w:val="20"/>
                <w:lang w:val="es-MX" w:eastAsia="ar-SA"/>
              </w:rPr>
            </w:pPr>
            <w:r>
              <w:rPr>
                <w:sz w:val="20"/>
                <w:szCs w:val="20"/>
                <w:lang w:val="es-MX" w:eastAsia="ar-SA"/>
              </w:rPr>
              <w:lastRenderedPageBreak/>
              <w:t>3</w:t>
            </w:r>
          </w:p>
        </w:tc>
        <w:tc>
          <w:tcPr>
            <w:tcW w:w="5480" w:type="dxa"/>
          </w:tcPr>
          <w:p w:rsidR="007B494F" w:rsidRDefault="00063A35" w:rsidP="00415EA4">
            <w:pPr>
              <w:jc w:val="both"/>
              <w:rPr>
                <w:color w:val="000000"/>
                <w:sz w:val="20"/>
                <w:szCs w:val="20"/>
              </w:rPr>
            </w:pPr>
            <w:r>
              <w:rPr>
                <w:color w:val="000000"/>
                <w:sz w:val="20"/>
                <w:szCs w:val="20"/>
              </w:rPr>
              <w:t xml:space="preserve">Costeña </w:t>
            </w:r>
            <w:r w:rsidR="00415EA4">
              <w:rPr>
                <w:color w:val="000000"/>
                <w:sz w:val="20"/>
                <w:szCs w:val="20"/>
              </w:rPr>
              <w:t>hará llegar a Duxstar el juego de IDOCS filtrado solo con la información de masivo, considerando que se usarán Bases de datos separadas</w:t>
            </w:r>
            <w:r>
              <w:rPr>
                <w:color w:val="000000"/>
                <w:sz w:val="20"/>
                <w:szCs w:val="20"/>
              </w:rPr>
              <w:t>.</w:t>
            </w:r>
          </w:p>
        </w:tc>
        <w:tc>
          <w:tcPr>
            <w:tcW w:w="1526" w:type="dxa"/>
          </w:tcPr>
          <w:p w:rsidR="007B494F" w:rsidRDefault="007905E4" w:rsidP="00317A9E">
            <w:pPr>
              <w:rPr>
                <w:sz w:val="20"/>
                <w:szCs w:val="20"/>
              </w:rPr>
            </w:pPr>
            <w:r>
              <w:rPr>
                <w:sz w:val="20"/>
                <w:szCs w:val="20"/>
              </w:rPr>
              <w:t>Carlos Olivas</w:t>
            </w:r>
          </w:p>
        </w:tc>
        <w:tc>
          <w:tcPr>
            <w:tcW w:w="2126" w:type="dxa"/>
          </w:tcPr>
          <w:p w:rsidR="007B494F" w:rsidRDefault="007905E4" w:rsidP="00317A9E">
            <w:pPr>
              <w:rPr>
                <w:sz w:val="20"/>
                <w:szCs w:val="20"/>
                <w:lang w:val="es-UY"/>
              </w:rPr>
            </w:pPr>
            <w:r>
              <w:rPr>
                <w:sz w:val="20"/>
                <w:szCs w:val="20"/>
                <w:lang w:val="es-UY"/>
              </w:rPr>
              <w:t>A la brevedad</w:t>
            </w:r>
          </w:p>
        </w:tc>
      </w:tr>
      <w:tr w:rsidR="009E0E14" w:rsidRPr="003A53E1" w:rsidTr="00D23587">
        <w:trPr>
          <w:trHeight w:val="238"/>
        </w:trPr>
        <w:tc>
          <w:tcPr>
            <w:tcW w:w="757" w:type="dxa"/>
          </w:tcPr>
          <w:p w:rsidR="009E0E14" w:rsidRDefault="009E0E14" w:rsidP="00B325DF">
            <w:pPr>
              <w:jc w:val="center"/>
              <w:rPr>
                <w:sz w:val="20"/>
                <w:szCs w:val="20"/>
                <w:lang w:val="es-MX" w:eastAsia="ar-SA"/>
              </w:rPr>
            </w:pPr>
            <w:r>
              <w:rPr>
                <w:sz w:val="20"/>
                <w:szCs w:val="20"/>
                <w:lang w:val="es-MX" w:eastAsia="ar-SA"/>
              </w:rPr>
              <w:t>4</w:t>
            </w:r>
          </w:p>
        </w:tc>
        <w:tc>
          <w:tcPr>
            <w:tcW w:w="5480" w:type="dxa"/>
          </w:tcPr>
          <w:p w:rsidR="009E0E14" w:rsidRDefault="009E0E14" w:rsidP="00415EA4">
            <w:pPr>
              <w:jc w:val="both"/>
              <w:rPr>
                <w:color w:val="000000"/>
                <w:sz w:val="20"/>
                <w:szCs w:val="20"/>
              </w:rPr>
            </w:pPr>
            <w:r>
              <w:rPr>
                <w:color w:val="000000"/>
                <w:sz w:val="20"/>
                <w:szCs w:val="20"/>
              </w:rPr>
              <w:t>Duxstar le hará llegar a Costeña las minutas de las ultimas conferencias telefónicas.</w:t>
            </w:r>
          </w:p>
        </w:tc>
        <w:tc>
          <w:tcPr>
            <w:tcW w:w="1526" w:type="dxa"/>
          </w:tcPr>
          <w:p w:rsidR="009E0E14" w:rsidRDefault="009E0E14" w:rsidP="00317A9E">
            <w:pPr>
              <w:rPr>
                <w:sz w:val="20"/>
                <w:szCs w:val="20"/>
              </w:rPr>
            </w:pPr>
            <w:r>
              <w:rPr>
                <w:sz w:val="20"/>
                <w:szCs w:val="20"/>
              </w:rPr>
              <w:t>Paula Rojas</w:t>
            </w:r>
          </w:p>
        </w:tc>
        <w:tc>
          <w:tcPr>
            <w:tcW w:w="2126" w:type="dxa"/>
          </w:tcPr>
          <w:p w:rsidR="009E0E14" w:rsidRDefault="009E0E14" w:rsidP="00317A9E">
            <w:pPr>
              <w:rPr>
                <w:sz w:val="20"/>
                <w:szCs w:val="20"/>
                <w:lang w:val="es-UY"/>
              </w:rPr>
            </w:pPr>
            <w:r>
              <w:rPr>
                <w:sz w:val="20"/>
                <w:szCs w:val="20"/>
                <w:lang w:val="es-UY"/>
              </w:rPr>
              <w:t>A la brevedad</w:t>
            </w:r>
          </w:p>
        </w:tc>
      </w:tr>
      <w:tr w:rsidR="009E0E14" w:rsidRPr="003A53E1" w:rsidTr="00D23587">
        <w:trPr>
          <w:trHeight w:val="238"/>
        </w:trPr>
        <w:tc>
          <w:tcPr>
            <w:tcW w:w="757" w:type="dxa"/>
          </w:tcPr>
          <w:p w:rsidR="009E0E14" w:rsidRDefault="009E0E14" w:rsidP="00B325DF">
            <w:pPr>
              <w:jc w:val="center"/>
              <w:rPr>
                <w:sz w:val="20"/>
                <w:szCs w:val="20"/>
                <w:lang w:val="es-MX" w:eastAsia="ar-SA"/>
              </w:rPr>
            </w:pPr>
            <w:r>
              <w:rPr>
                <w:sz w:val="20"/>
                <w:szCs w:val="20"/>
                <w:lang w:val="es-MX" w:eastAsia="ar-SA"/>
              </w:rPr>
              <w:t>5</w:t>
            </w:r>
          </w:p>
        </w:tc>
        <w:tc>
          <w:tcPr>
            <w:tcW w:w="5480" w:type="dxa"/>
          </w:tcPr>
          <w:p w:rsidR="009E0E14" w:rsidRDefault="009E0E14" w:rsidP="00415EA4">
            <w:pPr>
              <w:jc w:val="both"/>
              <w:rPr>
                <w:color w:val="000000"/>
                <w:sz w:val="20"/>
                <w:szCs w:val="20"/>
              </w:rPr>
            </w:pPr>
            <w:r>
              <w:rPr>
                <w:color w:val="000000"/>
                <w:sz w:val="20"/>
                <w:szCs w:val="20"/>
              </w:rPr>
              <w:t>Costeña revisará los correos que no han sido contestados y/o resueltos, buscando que se pueda seguir avanzando en los desarrollos comprometidos, tratando de minimizar retrasos.</w:t>
            </w:r>
            <w:bookmarkStart w:id="0" w:name="_GoBack"/>
            <w:bookmarkEnd w:id="0"/>
          </w:p>
        </w:tc>
        <w:tc>
          <w:tcPr>
            <w:tcW w:w="1526" w:type="dxa"/>
          </w:tcPr>
          <w:p w:rsidR="009E0E14" w:rsidRDefault="009E0E14" w:rsidP="00317A9E">
            <w:pPr>
              <w:rPr>
                <w:sz w:val="20"/>
                <w:szCs w:val="20"/>
              </w:rPr>
            </w:pPr>
          </w:p>
        </w:tc>
        <w:tc>
          <w:tcPr>
            <w:tcW w:w="2126" w:type="dxa"/>
          </w:tcPr>
          <w:p w:rsidR="009E0E14" w:rsidRDefault="009E0E14" w:rsidP="00317A9E">
            <w:pPr>
              <w:rPr>
                <w:sz w:val="20"/>
                <w:szCs w:val="20"/>
                <w:lang w:val="es-UY"/>
              </w:rPr>
            </w:pPr>
          </w:p>
        </w:tc>
      </w:tr>
    </w:tbl>
    <w:p w:rsidR="002F7E26" w:rsidRDefault="002F7E26" w:rsidP="002F7E26">
      <w:pPr>
        <w:rPr>
          <w:rFonts w:cs="Arial"/>
          <w:b/>
          <w:sz w:val="20"/>
          <w:szCs w:val="20"/>
        </w:rPr>
      </w:pPr>
    </w:p>
    <w:p w:rsidR="00D34D19" w:rsidRDefault="00D34D19" w:rsidP="002F7E26">
      <w:pPr>
        <w:rPr>
          <w:rFonts w:cs="Arial"/>
          <w:b/>
          <w:sz w:val="20"/>
          <w:szCs w:val="20"/>
        </w:rPr>
      </w:pPr>
    </w:p>
    <w:tbl>
      <w:tblPr>
        <w:tblStyle w:val="GridTable1LightAccent5"/>
        <w:tblW w:w="9923" w:type="dxa"/>
        <w:tblLayout w:type="fixed"/>
        <w:tblLook w:val="0000" w:firstRow="0" w:lastRow="0" w:firstColumn="0" w:lastColumn="0" w:noHBand="0" w:noVBand="0"/>
      </w:tblPr>
      <w:tblGrid>
        <w:gridCol w:w="6237"/>
        <w:gridCol w:w="1526"/>
        <w:gridCol w:w="2160"/>
      </w:tblGrid>
      <w:tr w:rsidR="004D25E2" w:rsidTr="00D34D19">
        <w:trPr>
          <w:trHeight w:val="397"/>
        </w:trPr>
        <w:tc>
          <w:tcPr>
            <w:tcW w:w="6237"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 Pendientes</w:t>
            </w:r>
          </w:p>
        </w:tc>
        <w:tc>
          <w:tcPr>
            <w:tcW w:w="1526"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Inicial</w:t>
            </w:r>
          </w:p>
        </w:tc>
        <w:tc>
          <w:tcPr>
            <w:tcW w:w="2160"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Compromiso</w:t>
            </w: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bl>
    <w:p w:rsidR="004D25E2" w:rsidRDefault="004D25E2" w:rsidP="002F7E26">
      <w:pPr>
        <w:rPr>
          <w:rFonts w:cs="Arial"/>
          <w:b/>
          <w:sz w:val="20"/>
          <w:szCs w:val="20"/>
        </w:rPr>
      </w:pPr>
    </w:p>
    <w:p w:rsidR="004D25E2" w:rsidRPr="003A53E1" w:rsidRDefault="004D25E2" w:rsidP="002F7E26">
      <w:pPr>
        <w:rPr>
          <w:rFonts w:cs="Arial"/>
          <w:b/>
          <w:sz w:val="20"/>
          <w:szCs w:val="20"/>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tbl>
      <w:tblPr>
        <w:tblStyle w:val="GridTable1LightAccent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0C4A2D" w:rsidRPr="003A53E1" w:rsidRDefault="00B27EB3" w:rsidP="003A53E1">
            <w:pPr>
              <w:rPr>
                <w:sz w:val="20"/>
                <w:szCs w:val="20"/>
              </w:rPr>
            </w:pPr>
            <w:r>
              <w:rPr>
                <w:sz w:val="20"/>
                <w:szCs w:val="20"/>
              </w:rPr>
              <w:t>Carlos Olivas</w:t>
            </w:r>
          </w:p>
        </w:tc>
        <w:tc>
          <w:tcPr>
            <w:tcW w:w="3686" w:type="dxa"/>
          </w:tcPr>
          <w:p w:rsidR="000C4A2D" w:rsidRPr="003A53E1" w:rsidRDefault="000C4A2D" w:rsidP="003A53E1">
            <w:pPr>
              <w:rPr>
                <w:sz w:val="20"/>
                <w:szCs w:val="20"/>
              </w:rPr>
            </w:pPr>
          </w:p>
        </w:tc>
      </w:tr>
      <w:tr w:rsidR="000C4A2D" w:rsidTr="00D23587">
        <w:trPr>
          <w:trHeight w:val="248"/>
        </w:trPr>
        <w:tc>
          <w:tcPr>
            <w:tcW w:w="6237" w:type="dxa"/>
          </w:tcPr>
          <w:p w:rsidR="00B27EB3" w:rsidRPr="003A53E1" w:rsidRDefault="00B27EB3" w:rsidP="003A53E1">
            <w:pPr>
              <w:rPr>
                <w:sz w:val="20"/>
                <w:szCs w:val="20"/>
              </w:rPr>
            </w:pPr>
            <w:r>
              <w:rPr>
                <w:sz w:val="20"/>
                <w:szCs w:val="20"/>
              </w:rPr>
              <w:t>Ileana Lozano</w:t>
            </w:r>
          </w:p>
        </w:tc>
        <w:tc>
          <w:tcPr>
            <w:tcW w:w="3686" w:type="dxa"/>
          </w:tcPr>
          <w:p w:rsidR="000C4A2D" w:rsidRPr="003A53E1" w:rsidRDefault="000C4A2D" w:rsidP="003A53E1">
            <w:pPr>
              <w:rPr>
                <w:sz w:val="20"/>
                <w:szCs w:val="20"/>
              </w:rPr>
            </w:pPr>
          </w:p>
        </w:tc>
      </w:tr>
      <w:tr w:rsidR="00B27EB3" w:rsidTr="00D23587">
        <w:trPr>
          <w:trHeight w:val="248"/>
        </w:trPr>
        <w:tc>
          <w:tcPr>
            <w:tcW w:w="6237" w:type="dxa"/>
          </w:tcPr>
          <w:p w:rsidR="00B27EB3" w:rsidRDefault="00B27EB3" w:rsidP="003A53E1">
            <w:pPr>
              <w:rPr>
                <w:sz w:val="20"/>
                <w:szCs w:val="20"/>
              </w:rPr>
            </w:pPr>
            <w:r>
              <w:rPr>
                <w:sz w:val="20"/>
                <w:szCs w:val="20"/>
              </w:rPr>
              <w:t>Paula Rojas</w:t>
            </w:r>
          </w:p>
        </w:tc>
        <w:tc>
          <w:tcPr>
            <w:tcW w:w="3686" w:type="dxa"/>
          </w:tcPr>
          <w:p w:rsidR="00B27EB3" w:rsidRPr="003A53E1" w:rsidRDefault="00B27EB3"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2B05AB" w:rsidRPr="002B05AB">
        <w:rPr>
          <w:b w:val="0"/>
          <w:sz w:val="20"/>
          <w:szCs w:val="20"/>
        </w:rPr>
        <w:t>Paula Rojas</w:t>
      </w:r>
      <w:r w:rsidR="002B05AB">
        <w:rPr>
          <w:b w:val="0"/>
          <w:sz w:val="20"/>
          <w:szCs w:val="20"/>
        </w:rPr>
        <w:t>.</w:t>
      </w:r>
    </w:p>
    <w:sectPr w:rsidR="00E04C0F" w:rsidRPr="00D34D19" w:rsidSect="00E04C0F">
      <w:footerReference w:type="even" r:id="rId9"/>
      <w:footerReference w:type="default" r:id="rId10"/>
      <w:headerReference w:type="first" r:id="rId11"/>
      <w:footerReference w:type="first" r:id="rId12"/>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ACE" w:rsidRDefault="00BA3ACE" w:rsidP="00514F06">
      <w:pPr>
        <w:pStyle w:val="Ttulo1"/>
      </w:pPr>
      <w:r>
        <w:separator/>
      </w:r>
    </w:p>
  </w:endnote>
  <w:endnote w:type="continuationSeparator" w:id="0">
    <w:p w:rsidR="00BA3ACE" w:rsidRDefault="00BA3AC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Amesol Group</w:t>
          </w:r>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B645CD">
            <w:rPr>
              <w:rFonts w:ascii="Arial" w:hAnsi="Arial" w:cs="Arial"/>
              <w:noProof/>
            </w:rPr>
            <w:t>1</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E0E14">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E0E14">
            <w:rPr>
              <w:rFonts w:ascii="Arial" w:hAnsi="Arial" w:cs="Arial"/>
              <w:noProof/>
            </w:rPr>
            <w:t>2</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ACE" w:rsidRDefault="00BA3ACE" w:rsidP="00514F06">
      <w:pPr>
        <w:pStyle w:val="Ttulo1"/>
      </w:pPr>
      <w:r>
        <w:separator/>
      </w:r>
    </w:p>
  </w:footnote>
  <w:footnote w:type="continuationSeparator" w:id="0">
    <w:p w:rsidR="00BA3ACE" w:rsidRDefault="00BA3AC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CE0B54" w:rsidP="00D23587">
    <w:pPr>
      <w:pStyle w:val="Encabezado"/>
      <w:jc w:val="right"/>
      <w:rPr>
        <w:color w:val="0070C0"/>
      </w:rPr>
    </w:pPr>
    <w:r>
      <w:rPr>
        <w:color w:val="0070C0"/>
      </w:rPr>
      <w:t>2</w:t>
    </w:r>
    <w:r w:rsidR="00E82773">
      <w:rPr>
        <w:color w:val="0070C0"/>
      </w:rPr>
      <w:t>2</w:t>
    </w:r>
    <w:r>
      <w:rPr>
        <w:color w:val="0070C0"/>
      </w:rPr>
      <w:t>-09-2015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422"/>
    <w:multiLevelType w:val="hybridMultilevel"/>
    <w:tmpl w:val="03A05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300448"/>
    <w:multiLevelType w:val="hybridMultilevel"/>
    <w:tmpl w:val="9F24C7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nsid w:val="2D751E4F"/>
    <w:multiLevelType w:val="hybridMultilevel"/>
    <w:tmpl w:val="F9AAA1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4333DD7"/>
    <w:multiLevelType w:val="hybridMultilevel"/>
    <w:tmpl w:val="3950F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D7F0908"/>
    <w:multiLevelType w:val="hybridMultilevel"/>
    <w:tmpl w:val="2B5CC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7F6318"/>
    <w:multiLevelType w:val="hybridMultilevel"/>
    <w:tmpl w:val="97541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C64AE4"/>
    <w:multiLevelType w:val="hybridMultilevel"/>
    <w:tmpl w:val="B3EE5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788D15B7"/>
    <w:multiLevelType w:val="hybridMultilevel"/>
    <w:tmpl w:val="583ED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4"/>
  </w:num>
  <w:num w:numId="4">
    <w:abstractNumId w:val="14"/>
  </w:num>
  <w:num w:numId="5">
    <w:abstractNumId w:val="14"/>
  </w:num>
  <w:num w:numId="6">
    <w:abstractNumId w:val="14"/>
  </w:num>
  <w:num w:numId="7">
    <w:abstractNumId w:val="1"/>
  </w:num>
  <w:num w:numId="8">
    <w:abstractNumId w:val="9"/>
  </w:num>
  <w:num w:numId="9">
    <w:abstractNumId w:val="8"/>
  </w:num>
  <w:num w:numId="10">
    <w:abstractNumId w:val="13"/>
  </w:num>
  <w:num w:numId="11">
    <w:abstractNumId w:val="3"/>
  </w:num>
  <w:num w:numId="12">
    <w:abstractNumId w:val="12"/>
  </w:num>
  <w:num w:numId="13">
    <w:abstractNumId w:val="2"/>
  </w:num>
  <w:num w:numId="14">
    <w:abstractNumId w:val="16"/>
  </w:num>
  <w:num w:numId="15">
    <w:abstractNumId w:val="15"/>
  </w:num>
  <w:num w:numId="16">
    <w:abstractNumId w:val="7"/>
  </w:num>
  <w:num w:numId="17">
    <w:abstractNumId w:val="1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5"/>
  </w:num>
  <w:num w:numId="21">
    <w:abstractNumId w:val="1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44EEA"/>
    <w:rsid w:val="0005001B"/>
    <w:rsid w:val="00055766"/>
    <w:rsid w:val="00055E66"/>
    <w:rsid w:val="00063A35"/>
    <w:rsid w:val="00064920"/>
    <w:rsid w:val="000671A5"/>
    <w:rsid w:val="00074319"/>
    <w:rsid w:val="00087962"/>
    <w:rsid w:val="00091857"/>
    <w:rsid w:val="000A5CDA"/>
    <w:rsid w:val="000A77DF"/>
    <w:rsid w:val="000B523A"/>
    <w:rsid w:val="000B5641"/>
    <w:rsid w:val="000C45BD"/>
    <w:rsid w:val="000C4A2D"/>
    <w:rsid w:val="000D58E6"/>
    <w:rsid w:val="000D5B6A"/>
    <w:rsid w:val="000E361D"/>
    <w:rsid w:val="000F31CD"/>
    <w:rsid w:val="001017BB"/>
    <w:rsid w:val="00103CD5"/>
    <w:rsid w:val="001117A7"/>
    <w:rsid w:val="00125E35"/>
    <w:rsid w:val="0013530E"/>
    <w:rsid w:val="001416D3"/>
    <w:rsid w:val="00142850"/>
    <w:rsid w:val="001436DC"/>
    <w:rsid w:val="00147CB5"/>
    <w:rsid w:val="00152C0A"/>
    <w:rsid w:val="00155B9F"/>
    <w:rsid w:val="0016291D"/>
    <w:rsid w:val="00166BA6"/>
    <w:rsid w:val="0017341C"/>
    <w:rsid w:val="0017686C"/>
    <w:rsid w:val="00177278"/>
    <w:rsid w:val="00183F8B"/>
    <w:rsid w:val="00184046"/>
    <w:rsid w:val="001867C0"/>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20011"/>
    <w:rsid w:val="00225DC0"/>
    <w:rsid w:val="0022637D"/>
    <w:rsid w:val="00227281"/>
    <w:rsid w:val="002311A2"/>
    <w:rsid w:val="002423AA"/>
    <w:rsid w:val="00242D3B"/>
    <w:rsid w:val="00243A2E"/>
    <w:rsid w:val="00243D7B"/>
    <w:rsid w:val="0024718F"/>
    <w:rsid w:val="00257B5E"/>
    <w:rsid w:val="00261ED6"/>
    <w:rsid w:val="00262331"/>
    <w:rsid w:val="0026489A"/>
    <w:rsid w:val="00264DBC"/>
    <w:rsid w:val="002676A5"/>
    <w:rsid w:val="00267805"/>
    <w:rsid w:val="0027680F"/>
    <w:rsid w:val="002775F9"/>
    <w:rsid w:val="00293518"/>
    <w:rsid w:val="002B05AB"/>
    <w:rsid w:val="002B1EBB"/>
    <w:rsid w:val="002B403D"/>
    <w:rsid w:val="002B7DAA"/>
    <w:rsid w:val="002C4527"/>
    <w:rsid w:val="002D6E72"/>
    <w:rsid w:val="002D7C7F"/>
    <w:rsid w:val="002E79E5"/>
    <w:rsid w:val="002F2A60"/>
    <w:rsid w:val="002F35F0"/>
    <w:rsid w:val="002F7E26"/>
    <w:rsid w:val="0031070D"/>
    <w:rsid w:val="003111A1"/>
    <w:rsid w:val="00317A9E"/>
    <w:rsid w:val="00320177"/>
    <w:rsid w:val="0032111A"/>
    <w:rsid w:val="0032400D"/>
    <w:rsid w:val="003400C4"/>
    <w:rsid w:val="00343E76"/>
    <w:rsid w:val="00345480"/>
    <w:rsid w:val="00345A2B"/>
    <w:rsid w:val="0034773B"/>
    <w:rsid w:val="0035410E"/>
    <w:rsid w:val="00367AFC"/>
    <w:rsid w:val="003767A1"/>
    <w:rsid w:val="003817A4"/>
    <w:rsid w:val="00381A89"/>
    <w:rsid w:val="003A15EE"/>
    <w:rsid w:val="003A53E1"/>
    <w:rsid w:val="003A62B0"/>
    <w:rsid w:val="003A7F0E"/>
    <w:rsid w:val="003B24FD"/>
    <w:rsid w:val="003B7EAD"/>
    <w:rsid w:val="003C1C04"/>
    <w:rsid w:val="003C3FF8"/>
    <w:rsid w:val="003C50F8"/>
    <w:rsid w:val="003C597C"/>
    <w:rsid w:val="003D746C"/>
    <w:rsid w:val="003F2901"/>
    <w:rsid w:val="003F2B87"/>
    <w:rsid w:val="00400661"/>
    <w:rsid w:val="00415EA4"/>
    <w:rsid w:val="0041669A"/>
    <w:rsid w:val="00417F67"/>
    <w:rsid w:val="004231DC"/>
    <w:rsid w:val="00441A47"/>
    <w:rsid w:val="004507B3"/>
    <w:rsid w:val="004515F5"/>
    <w:rsid w:val="0045227F"/>
    <w:rsid w:val="004669DD"/>
    <w:rsid w:val="00473B78"/>
    <w:rsid w:val="00485373"/>
    <w:rsid w:val="004A61F8"/>
    <w:rsid w:val="004B1F0D"/>
    <w:rsid w:val="004B623B"/>
    <w:rsid w:val="004D0ABF"/>
    <w:rsid w:val="004D25E2"/>
    <w:rsid w:val="004E0F0C"/>
    <w:rsid w:val="004E23D0"/>
    <w:rsid w:val="004F049D"/>
    <w:rsid w:val="004F1C65"/>
    <w:rsid w:val="004F3DBC"/>
    <w:rsid w:val="004F4AB5"/>
    <w:rsid w:val="0050675E"/>
    <w:rsid w:val="005079F1"/>
    <w:rsid w:val="00514F06"/>
    <w:rsid w:val="005213F8"/>
    <w:rsid w:val="00537CB4"/>
    <w:rsid w:val="005560A2"/>
    <w:rsid w:val="0056249F"/>
    <w:rsid w:val="00564EB7"/>
    <w:rsid w:val="00565B5A"/>
    <w:rsid w:val="00572DCE"/>
    <w:rsid w:val="005742E9"/>
    <w:rsid w:val="00580188"/>
    <w:rsid w:val="00591EB1"/>
    <w:rsid w:val="00593042"/>
    <w:rsid w:val="00596B48"/>
    <w:rsid w:val="005A09F5"/>
    <w:rsid w:val="005A1B23"/>
    <w:rsid w:val="005A45B6"/>
    <w:rsid w:val="005A695B"/>
    <w:rsid w:val="005B0DAC"/>
    <w:rsid w:val="005C45A9"/>
    <w:rsid w:val="005C6DBF"/>
    <w:rsid w:val="005D1D74"/>
    <w:rsid w:val="005D23A6"/>
    <w:rsid w:val="005E0690"/>
    <w:rsid w:val="005E1890"/>
    <w:rsid w:val="005F7FAC"/>
    <w:rsid w:val="0060399E"/>
    <w:rsid w:val="00604E4A"/>
    <w:rsid w:val="0061340C"/>
    <w:rsid w:val="006140D5"/>
    <w:rsid w:val="00626421"/>
    <w:rsid w:val="00643F55"/>
    <w:rsid w:val="00652D27"/>
    <w:rsid w:val="00653684"/>
    <w:rsid w:val="006637E6"/>
    <w:rsid w:val="0067172A"/>
    <w:rsid w:val="00671DCC"/>
    <w:rsid w:val="0067285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150C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5E4"/>
    <w:rsid w:val="00790C54"/>
    <w:rsid w:val="00792D31"/>
    <w:rsid w:val="00797670"/>
    <w:rsid w:val="00797FC3"/>
    <w:rsid w:val="007B237B"/>
    <w:rsid w:val="007B494F"/>
    <w:rsid w:val="007B4BD5"/>
    <w:rsid w:val="007B7EDC"/>
    <w:rsid w:val="007C1A49"/>
    <w:rsid w:val="007C3BBF"/>
    <w:rsid w:val="007C7329"/>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06BF"/>
    <w:rsid w:val="008213DC"/>
    <w:rsid w:val="00821C89"/>
    <w:rsid w:val="00822723"/>
    <w:rsid w:val="00826CA2"/>
    <w:rsid w:val="0083088A"/>
    <w:rsid w:val="00830A3D"/>
    <w:rsid w:val="00833ED3"/>
    <w:rsid w:val="0084265E"/>
    <w:rsid w:val="00847B4B"/>
    <w:rsid w:val="0085060E"/>
    <w:rsid w:val="00854263"/>
    <w:rsid w:val="00857306"/>
    <w:rsid w:val="00863AEC"/>
    <w:rsid w:val="00864FD8"/>
    <w:rsid w:val="00872908"/>
    <w:rsid w:val="008817CF"/>
    <w:rsid w:val="00883DA2"/>
    <w:rsid w:val="00885E9D"/>
    <w:rsid w:val="00890BA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35D"/>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D7411"/>
    <w:rsid w:val="009E0E14"/>
    <w:rsid w:val="009E4781"/>
    <w:rsid w:val="009E5636"/>
    <w:rsid w:val="009E653C"/>
    <w:rsid w:val="009F2204"/>
    <w:rsid w:val="009F63D6"/>
    <w:rsid w:val="00A052FA"/>
    <w:rsid w:val="00A14130"/>
    <w:rsid w:val="00A1565F"/>
    <w:rsid w:val="00A24D3D"/>
    <w:rsid w:val="00A3159B"/>
    <w:rsid w:val="00A33093"/>
    <w:rsid w:val="00A44CD8"/>
    <w:rsid w:val="00A60409"/>
    <w:rsid w:val="00A6045B"/>
    <w:rsid w:val="00A60A11"/>
    <w:rsid w:val="00A6310B"/>
    <w:rsid w:val="00A66BED"/>
    <w:rsid w:val="00A67752"/>
    <w:rsid w:val="00A71DEC"/>
    <w:rsid w:val="00A72134"/>
    <w:rsid w:val="00A750F9"/>
    <w:rsid w:val="00A83771"/>
    <w:rsid w:val="00A846D9"/>
    <w:rsid w:val="00AA0DA0"/>
    <w:rsid w:val="00AA5BDC"/>
    <w:rsid w:val="00AB7EF9"/>
    <w:rsid w:val="00AC20A7"/>
    <w:rsid w:val="00AC4AF3"/>
    <w:rsid w:val="00AD1098"/>
    <w:rsid w:val="00AD1B62"/>
    <w:rsid w:val="00AD2CE8"/>
    <w:rsid w:val="00AD42D8"/>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27EB3"/>
    <w:rsid w:val="00B325DF"/>
    <w:rsid w:val="00B41F17"/>
    <w:rsid w:val="00B44E8B"/>
    <w:rsid w:val="00B45BAF"/>
    <w:rsid w:val="00B52BCD"/>
    <w:rsid w:val="00B61D4C"/>
    <w:rsid w:val="00B63441"/>
    <w:rsid w:val="00B645CD"/>
    <w:rsid w:val="00B73AD2"/>
    <w:rsid w:val="00B8398F"/>
    <w:rsid w:val="00BA1C0D"/>
    <w:rsid w:val="00BA28AB"/>
    <w:rsid w:val="00BA3ACE"/>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4C6E"/>
    <w:rsid w:val="00C07145"/>
    <w:rsid w:val="00C1221B"/>
    <w:rsid w:val="00C15C18"/>
    <w:rsid w:val="00C170C5"/>
    <w:rsid w:val="00C17A46"/>
    <w:rsid w:val="00C27247"/>
    <w:rsid w:val="00C27877"/>
    <w:rsid w:val="00C2796C"/>
    <w:rsid w:val="00C35450"/>
    <w:rsid w:val="00C41500"/>
    <w:rsid w:val="00C5432B"/>
    <w:rsid w:val="00C620DD"/>
    <w:rsid w:val="00C65D27"/>
    <w:rsid w:val="00C73A4D"/>
    <w:rsid w:val="00C8344D"/>
    <w:rsid w:val="00C94BB2"/>
    <w:rsid w:val="00C97546"/>
    <w:rsid w:val="00CA05EF"/>
    <w:rsid w:val="00CB3A2E"/>
    <w:rsid w:val="00CB7F03"/>
    <w:rsid w:val="00CC035A"/>
    <w:rsid w:val="00CC25B1"/>
    <w:rsid w:val="00CC2DB1"/>
    <w:rsid w:val="00CC64E7"/>
    <w:rsid w:val="00CC7E66"/>
    <w:rsid w:val="00CE0B54"/>
    <w:rsid w:val="00CE326B"/>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8224D"/>
    <w:rsid w:val="00D83C2C"/>
    <w:rsid w:val="00D918CE"/>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4791C"/>
    <w:rsid w:val="00E577D6"/>
    <w:rsid w:val="00E60A38"/>
    <w:rsid w:val="00E623CE"/>
    <w:rsid w:val="00E6339F"/>
    <w:rsid w:val="00E80189"/>
    <w:rsid w:val="00E82773"/>
    <w:rsid w:val="00E82848"/>
    <w:rsid w:val="00E963A6"/>
    <w:rsid w:val="00EA19F8"/>
    <w:rsid w:val="00EA2B47"/>
    <w:rsid w:val="00EA434D"/>
    <w:rsid w:val="00EB26DB"/>
    <w:rsid w:val="00EB4D23"/>
    <w:rsid w:val="00EC1BF2"/>
    <w:rsid w:val="00EC3CC9"/>
    <w:rsid w:val="00ED0341"/>
    <w:rsid w:val="00ED094F"/>
    <w:rsid w:val="00ED0DF4"/>
    <w:rsid w:val="00ED1F00"/>
    <w:rsid w:val="00ED2A60"/>
    <w:rsid w:val="00ED41DA"/>
    <w:rsid w:val="00EE102F"/>
    <w:rsid w:val="00EE785A"/>
    <w:rsid w:val="00EF1328"/>
    <w:rsid w:val="00F031DC"/>
    <w:rsid w:val="00F07B69"/>
    <w:rsid w:val="00F109F6"/>
    <w:rsid w:val="00F207E6"/>
    <w:rsid w:val="00F229C2"/>
    <w:rsid w:val="00F23256"/>
    <w:rsid w:val="00F36B30"/>
    <w:rsid w:val="00F36E8B"/>
    <w:rsid w:val="00F563DB"/>
    <w:rsid w:val="00F87923"/>
    <w:rsid w:val="00F93DD4"/>
    <w:rsid w:val="00F94849"/>
    <w:rsid w:val="00FB2433"/>
    <w:rsid w:val="00FB29AA"/>
    <w:rsid w:val="00FB2E50"/>
    <w:rsid w:val="00FB4CDB"/>
    <w:rsid w:val="00FC3AA1"/>
    <w:rsid w:val="00FC4956"/>
    <w:rsid w:val="00FD68A1"/>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customStyle="1" w:styleId="GridTable1LightAccent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customStyle="1" w:styleId="GridTable1LightAccent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298419062">
      <w:bodyDiv w:val="1"/>
      <w:marLeft w:val="0"/>
      <w:marRight w:val="0"/>
      <w:marTop w:val="0"/>
      <w:marBottom w:val="0"/>
      <w:divBdr>
        <w:top w:val="none" w:sz="0" w:space="0" w:color="auto"/>
        <w:left w:val="none" w:sz="0" w:space="0" w:color="auto"/>
        <w:bottom w:val="none" w:sz="0" w:space="0" w:color="auto"/>
        <w:right w:val="none" w:sz="0" w:space="0" w:color="auto"/>
      </w:divBdr>
    </w:div>
    <w:div w:id="143539526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32410571">
      <w:bodyDiv w:val="1"/>
      <w:marLeft w:val="0"/>
      <w:marRight w:val="0"/>
      <w:marTop w:val="0"/>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BC44E-F411-4054-B17F-3FBD4198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[PRY]_Minuta_[aaaammdd]_PalabraClave.dotx</Template>
  <TotalTime>178</TotalTime>
  <Pages>2</Pages>
  <Words>417</Words>
  <Characters>2296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2708</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Paula Rojas</cp:lastModifiedBy>
  <cp:revision>59</cp:revision>
  <cp:lastPrinted>2008-09-11T22:09:00Z</cp:lastPrinted>
  <dcterms:created xsi:type="dcterms:W3CDTF">2013-08-05T22:08:00Z</dcterms:created>
  <dcterms:modified xsi:type="dcterms:W3CDTF">2015-09-24T14:51:00Z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