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1216E2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D91FCD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03/09</w:t>
            </w:r>
            <w:r w:rsidR="004E2AB7">
              <w:rPr>
                <w:iCs/>
              </w:rPr>
              <w:t>/</w:t>
            </w:r>
            <w:r w:rsidR="007F1E9C">
              <w:rPr>
                <w:iCs/>
              </w:rPr>
              <w:t>2013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Definición Inicial</w:t>
            </w:r>
          </w:p>
        </w:tc>
        <w:tc>
          <w:tcPr>
            <w:tcW w:w="2304" w:type="dxa"/>
          </w:tcPr>
          <w:p w:rsidR="0034547A" w:rsidRPr="005A290F" w:rsidRDefault="007F1E9C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7F1E9C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r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Indicador Cobertura</w:t>
      </w:r>
    </w:p>
    <w:bookmarkEnd w:id="0"/>
    <w:bookmarkEnd w:id="1"/>
    <w:p w:rsidR="00464C9D" w:rsidRDefault="00464C9D" w:rsidP="009158CB"/>
    <w:p w:rsidR="001334FF" w:rsidRDefault="00464C9D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Caso de Uso</w:t>
      </w:r>
      <w:r>
        <w:t>:</w:t>
      </w:r>
      <w:r w:rsidR="007F1E9C">
        <w:t xml:space="preserve"> </w:t>
      </w:r>
      <w:r w:rsidR="007F1E9C" w:rsidRPr="007F1E9C">
        <w:rPr>
          <w:rFonts w:cs="Arial"/>
          <w:sz w:val="20"/>
        </w:rPr>
        <w:t>N/A</w:t>
      </w:r>
    </w:p>
    <w:p w:rsidR="00EC648A" w:rsidRDefault="00EC648A" w:rsidP="00EC648A">
      <w:pPr>
        <w:pStyle w:val="Prrafodelista"/>
        <w:ind w:left="360"/>
      </w:pPr>
    </w:p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Descripción</w:t>
      </w:r>
      <w:r>
        <w:t>:</w:t>
      </w:r>
    </w:p>
    <w:p w:rsidR="00EC648A" w:rsidRPr="007F1E9C" w:rsidRDefault="007F1E9C" w:rsidP="00EC648A">
      <w:pPr>
        <w:rPr>
          <w:rFonts w:cs="Arial"/>
        </w:rPr>
      </w:pPr>
      <w:r w:rsidRPr="007F1E9C">
        <w:rPr>
          <w:rFonts w:cs="Arial"/>
          <w:sz w:val="20"/>
        </w:rPr>
        <w:t xml:space="preserve">Con este indicador se representará </w:t>
      </w:r>
      <w:r w:rsidR="00AD4372">
        <w:rPr>
          <w:rFonts w:cs="Arial"/>
          <w:sz w:val="20"/>
        </w:rPr>
        <w:t xml:space="preserve">la venta </w:t>
      </w:r>
      <w:r w:rsidR="00E25A9B">
        <w:rPr>
          <w:rFonts w:cs="Arial"/>
          <w:sz w:val="20"/>
        </w:rPr>
        <w:t>de un periodo determinado y se realizará el comparativo</w:t>
      </w:r>
      <w:r w:rsidR="00F64076">
        <w:rPr>
          <w:rFonts w:cs="Arial"/>
          <w:sz w:val="20"/>
        </w:rPr>
        <w:t xml:space="preserve"> con los años seleccionados, la información será obtenida de acuerdo a los filtros seleccionados y se mostrará el acumulado de los mismos a nivel mensual.</w:t>
      </w:r>
    </w:p>
    <w:p w:rsidR="007F1E9C" w:rsidRDefault="007F1E9C" w:rsidP="00EC648A"/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Especificación</w:t>
      </w:r>
      <w:r>
        <w:t>:</w:t>
      </w: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Vistas</w:t>
      </w:r>
    </w:p>
    <w:p w:rsidR="001543B8" w:rsidRDefault="007F1E9C" w:rsidP="001543B8">
      <w:pPr>
        <w:pStyle w:val="Prrafodelista"/>
        <w:numPr>
          <w:ilvl w:val="2"/>
          <w:numId w:val="15"/>
        </w:numPr>
      </w:pPr>
      <w:r>
        <w:t xml:space="preserve">Vista Grafica de </w:t>
      </w:r>
      <w:r w:rsidR="00F64076">
        <w:t>Comparativo Anual de</w:t>
      </w:r>
      <w:r w:rsidR="00205D01">
        <w:t xml:space="preserve"> </w:t>
      </w:r>
      <w:r w:rsidR="00787C1E">
        <w:t>Venta</w:t>
      </w:r>
      <w:r w:rsidR="00F64076">
        <w:t>s</w:t>
      </w:r>
      <w:r w:rsidR="00205D01">
        <w:t xml:space="preserve"> </w:t>
      </w:r>
      <w:r w:rsidR="008E4937">
        <w:t>por Importe</w:t>
      </w:r>
    </w:p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D863B5" w:rsidTr="0020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D863B5" w:rsidRPr="00533103" w:rsidRDefault="00D863B5" w:rsidP="00203274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863B5" w:rsidRPr="00533103" w:rsidRDefault="00D863B5" w:rsidP="00203274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GraficaComparativoAnualV</w:t>
            </w:r>
            <w:r w:rsidR="001216E2">
              <w:rPr>
                <w:b w:val="0"/>
                <w:color w:val="auto"/>
                <w:sz w:val="20"/>
                <w:szCs w:val="20"/>
              </w:rPr>
              <w:t>tasXMes</w:t>
            </w:r>
            <w:proofErr w:type="spellEnd"/>
          </w:p>
        </w:tc>
      </w:tr>
      <w:tr w:rsidR="00D863B5" w:rsidTr="0020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D863B5" w:rsidRPr="00533103" w:rsidRDefault="00D863B5" w:rsidP="00203274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D863B5" w:rsidRPr="00533103" w:rsidRDefault="00D863B5" w:rsidP="00203274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Comparativo Anual de Ventas por Importe</w:t>
            </w:r>
          </w:p>
        </w:tc>
      </w:tr>
    </w:tbl>
    <w:p w:rsidR="00D863B5" w:rsidRDefault="00D863B5" w:rsidP="00D863B5">
      <w:pPr>
        <w:ind w:left="720"/>
      </w:pPr>
    </w:p>
    <w:p w:rsidR="00D863B5" w:rsidRDefault="00D863B5" w:rsidP="001543B8">
      <w:pPr>
        <w:pStyle w:val="Prrafodelista"/>
        <w:numPr>
          <w:ilvl w:val="2"/>
          <w:numId w:val="15"/>
        </w:numPr>
      </w:pPr>
      <w:r>
        <w:t xml:space="preserve">Vista Grafica de Comparativo Anual de Ventas por </w:t>
      </w:r>
      <w:proofErr w:type="spellStart"/>
      <w:r>
        <w:t>KgLts</w:t>
      </w:r>
      <w:proofErr w:type="spellEnd"/>
    </w:p>
    <w:p w:rsidR="00A64D70" w:rsidRDefault="00A64D70" w:rsidP="00A64D70">
      <w:pPr>
        <w:pStyle w:val="Prrafodelista"/>
        <w:ind w:left="1224"/>
      </w:pPr>
    </w:p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A64D70" w:rsidTr="00C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A64D70" w:rsidP="00C33A3D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w_</w:t>
            </w:r>
            <w:r>
              <w:rPr>
                <w:b w:val="0"/>
                <w:color w:val="auto"/>
                <w:sz w:val="20"/>
                <w:szCs w:val="20"/>
              </w:rPr>
              <w:t>Grafica</w:t>
            </w:r>
            <w:r w:rsidR="001216E2">
              <w:rPr>
                <w:b w:val="0"/>
                <w:color w:val="auto"/>
                <w:sz w:val="20"/>
                <w:szCs w:val="20"/>
              </w:rPr>
              <w:t>ComparativoAnualVtasXMes</w:t>
            </w:r>
            <w:bookmarkStart w:id="2" w:name="_GoBack"/>
            <w:bookmarkEnd w:id="2"/>
            <w:r w:rsidR="00D863B5">
              <w:rPr>
                <w:b w:val="0"/>
                <w:color w:val="auto"/>
                <w:sz w:val="20"/>
                <w:szCs w:val="20"/>
              </w:rPr>
              <w:t>KgLts</w:t>
            </w:r>
            <w:proofErr w:type="spellEnd"/>
          </w:p>
        </w:tc>
      </w:tr>
      <w:tr w:rsidR="00A64D70" w:rsidTr="00C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A64D70" w:rsidRPr="00533103" w:rsidRDefault="00A64D70" w:rsidP="00C33A3D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A64D70" w:rsidRPr="00533103" w:rsidRDefault="00F64076" w:rsidP="00C33A3D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Comparativo Anual de Ventas</w:t>
            </w:r>
            <w:r w:rsidR="00DC4FA5">
              <w:rPr>
                <w:sz w:val="18"/>
                <w:szCs w:val="18"/>
                <w:lang w:val="es-MX"/>
              </w:rPr>
              <w:t xml:space="preserve"> </w:t>
            </w:r>
            <w:r w:rsidR="00D863B5">
              <w:rPr>
                <w:sz w:val="18"/>
                <w:szCs w:val="18"/>
                <w:lang w:val="es-MX"/>
              </w:rPr>
              <w:t>convertido a Kilogramos / Litros</w:t>
            </w:r>
          </w:p>
        </w:tc>
      </w:tr>
    </w:tbl>
    <w:p w:rsidR="001543B8" w:rsidRDefault="001543B8" w:rsidP="000F1AED"/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Detalles</w:t>
      </w:r>
    </w:p>
    <w:p w:rsidR="001543B8" w:rsidRDefault="00193F6E" w:rsidP="001543B8">
      <w:pPr>
        <w:pStyle w:val="Prrafodelista"/>
        <w:numPr>
          <w:ilvl w:val="2"/>
          <w:numId w:val="15"/>
        </w:numPr>
      </w:pPr>
      <w:r>
        <w:t>Grafica C</w:t>
      </w:r>
      <w:r w:rsidR="008E4937">
        <w:t>omparativa Anual de Ventas por Importe</w:t>
      </w:r>
    </w:p>
    <w:p w:rsidR="003E1349" w:rsidRDefault="003E1349" w:rsidP="00D863B5"/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526"/>
        <w:gridCol w:w="1929"/>
        <w:gridCol w:w="1512"/>
        <w:gridCol w:w="1428"/>
        <w:gridCol w:w="2677"/>
      </w:tblGrid>
      <w:tr w:rsidR="003E1349" w:rsidTr="0020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6A6A6" w:themeFill="background1" w:themeFillShade="A6"/>
          </w:tcPr>
          <w:p w:rsidR="003E1349" w:rsidRPr="00B9186F" w:rsidRDefault="003E1349" w:rsidP="00203274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26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3E1349" w:rsidRPr="00B9186F" w:rsidRDefault="003E1349" w:rsidP="0020327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4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3E1349" w:rsidRPr="00B9186F" w:rsidRDefault="003E1349" w:rsidP="0020327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3E1349" w:rsidRPr="00B9186F" w:rsidRDefault="003E1349" w:rsidP="0020327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12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3E1349" w:rsidRPr="00B9186F" w:rsidRDefault="003E1349" w:rsidP="0020327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3E1349" w:rsidTr="0020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Pr="00392880" w:rsidRDefault="003E1349" w:rsidP="0020327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DC54AC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Surtido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DC54AC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 de la Venta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DC54AC" w:rsidRDefault="003E1349" w:rsidP="0020327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Datetime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DC54AC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  <w:tr w:rsidR="003E1349" w:rsidTr="0020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Default="003E1349" w:rsidP="0020327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RutClave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la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la Ruta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(10)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Visita.RUTClave</w:t>
            </w:r>
            <w:proofErr w:type="spellEnd"/>
          </w:p>
        </w:tc>
      </w:tr>
      <w:tr w:rsidR="003E1349" w:rsidTr="0020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Pr="00CE0EEE" w:rsidRDefault="003E1349" w:rsidP="0020327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Ruta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CC07C3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(100)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Ruta.Descripcion</w:t>
            </w:r>
            <w:proofErr w:type="spellEnd"/>
          </w:p>
        </w:tc>
      </w:tr>
      <w:tr w:rsidR="003E1349" w:rsidTr="0020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Pr="00CE0EEE" w:rsidRDefault="003E1349" w:rsidP="0020327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VendedorID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Pr="00CC07C3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(16)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Visita.VendedorID</w:t>
            </w:r>
            <w:proofErr w:type="spellEnd"/>
          </w:p>
        </w:tc>
      </w:tr>
      <w:tr w:rsidR="003E1349" w:rsidTr="0020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Default="003E1349" w:rsidP="0020327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Vendedor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(64)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Vendedor.Nombre</w:t>
            </w:r>
            <w:proofErr w:type="spellEnd"/>
          </w:p>
        </w:tc>
      </w:tr>
      <w:tr w:rsidR="003E1349" w:rsidTr="0020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Default="003E1349" w:rsidP="0020327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AlmacenID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Almacén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Almacén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(16)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VENCentroDistHist.AlmacenID</w:t>
            </w:r>
            <w:proofErr w:type="spellEnd"/>
          </w:p>
        </w:tc>
      </w:tr>
      <w:tr w:rsidR="003E1349" w:rsidTr="0020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Default="003E1349" w:rsidP="0020327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lastRenderedPageBreak/>
              <w:t>Almacen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Almacén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Almacén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(40)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Almacen.Nombre</w:t>
            </w:r>
            <w:proofErr w:type="spellEnd"/>
          </w:p>
        </w:tc>
      </w:tr>
      <w:tr w:rsidR="003E1349" w:rsidTr="0020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E1349" w:rsidRDefault="003E1349" w:rsidP="0020327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Total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Total de la transacción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E1349" w:rsidRDefault="003E1349" w:rsidP="0020327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TransProd.Total</w:t>
            </w:r>
            <w:proofErr w:type="spellEnd"/>
          </w:p>
        </w:tc>
      </w:tr>
    </w:tbl>
    <w:p w:rsidR="003E1349" w:rsidRDefault="003E1349" w:rsidP="003E1349">
      <w:pPr>
        <w:ind w:left="720"/>
      </w:pPr>
    </w:p>
    <w:p w:rsidR="003E1349" w:rsidRDefault="003E1349" w:rsidP="001543B8">
      <w:pPr>
        <w:pStyle w:val="Prrafodelista"/>
        <w:numPr>
          <w:ilvl w:val="2"/>
          <w:numId w:val="15"/>
        </w:numPr>
      </w:pPr>
      <w:r>
        <w:t>Grafica Comparativa Anual de Ventas por Kg/</w:t>
      </w:r>
      <w:proofErr w:type="spellStart"/>
      <w:r>
        <w:t>Lts</w:t>
      </w:r>
      <w:proofErr w:type="spellEnd"/>
    </w:p>
    <w:p w:rsidR="00CE351C" w:rsidRDefault="00CE351C" w:rsidP="00CE351C">
      <w:pPr>
        <w:ind w:left="720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526"/>
        <w:gridCol w:w="1929"/>
        <w:gridCol w:w="1512"/>
        <w:gridCol w:w="1428"/>
        <w:gridCol w:w="2677"/>
      </w:tblGrid>
      <w:tr w:rsidR="002D0627" w:rsidTr="00B96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26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4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12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CE351C" w:rsidRPr="00B9186F" w:rsidRDefault="00CE351C" w:rsidP="00B96024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2D0627" w:rsidTr="00B9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392880" w:rsidRDefault="00193F6E" w:rsidP="00B9602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FechaSurtido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692719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Surtido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8756E8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Fecha de Surtido de la Venta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DC54AC" w:rsidRDefault="002D0627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D</w:t>
            </w:r>
            <w:r w:rsidR="00692719">
              <w:rPr>
                <w:sz w:val="18"/>
                <w:szCs w:val="18"/>
                <w:lang w:val="es-MX"/>
              </w:rPr>
              <w:t>atetime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F1AED" w:rsidRPr="00DC54AC" w:rsidRDefault="002D0627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TransProd.FechaSurtido</w:t>
            </w:r>
            <w:proofErr w:type="spellEnd"/>
          </w:p>
        </w:tc>
      </w:tr>
      <w:tr w:rsidR="002D0627" w:rsidTr="00B9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Default="00193F6E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RutClave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69271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la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8756E8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Clave de la Ruta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692719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2D0627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10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F1AED" w:rsidRDefault="008E4937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</w:t>
            </w:r>
            <w:r w:rsidR="002B4D54">
              <w:rPr>
                <w:sz w:val="18"/>
                <w:szCs w:val="18"/>
                <w:lang w:val="es-MX"/>
              </w:rPr>
              <w:t>.</w:t>
            </w:r>
            <w:r>
              <w:rPr>
                <w:sz w:val="18"/>
                <w:szCs w:val="18"/>
                <w:lang w:val="es-MX"/>
              </w:rPr>
              <w:t>RUTClave</w:t>
            </w:r>
            <w:proofErr w:type="spellEnd"/>
          </w:p>
        </w:tc>
      </w:tr>
      <w:tr w:rsidR="002D0627" w:rsidTr="00B9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CE351C" w:rsidRPr="00CE0EEE" w:rsidRDefault="00193F6E" w:rsidP="00B9602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Ruta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Pr="00CC07C3" w:rsidRDefault="00692719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8756E8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la Ruta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CE351C" w:rsidRDefault="00692719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2D0627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100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2A05B9" w:rsidRDefault="002D0627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Ruta.Descripcion</w:t>
            </w:r>
            <w:proofErr w:type="spellEnd"/>
          </w:p>
        </w:tc>
      </w:tr>
      <w:tr w:rsidR="002D0627" w:rsidTr="00B9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6C20AB" w:rsidRPr="00CE0EEE" w:rsidRDefault="00193F6E" w:rsidP="00B96024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VendedorID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C20AB" w:rsidRPr="00CC07C3" w:rsidRDefault="0069271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Vendedor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C20AB" w:rsidRDefault="0069271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</w:t>
            </w:r>
            <w:r w:rsidR="008756E8">
              <w:rPr>
                <w:sz w:val="18"/>
                <w:szCs w:val="18"/>
                <w:lang w:val="es-MX"/>
              </w:rPr>
              <w:t xml:space="preserve"> del Vendedor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C20AB" w:rsidRDefault="00692719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CA6A32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16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6C20AB" w:rsidRDefault="008E4937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Visita.VendedorID</w:t>
            </w:r>
            <w:proofErr w:type="spellEnd"/>
          </w:p>
        </w:tc>
      </w:tr>
      <w:tr w:rsidR="002D0627" w:rsidTr="00B9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93F6E" w:rsidRDefault="00193F6E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Vendedor</w:t>
            </w: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93F6E" w:rsidRDefault="00692719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93F6E" w:rsidRDefault="008756E8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Vendedor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93F6E" w:rsidRDefault="00692719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CF4CA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64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93F6E" w:rsidRDefault="00BB4BA0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Vendedor.</w:t>
            </w:r>
            <w:r w:rsidR="00CF4CAC">
              <w:rPr>
                <w:sz w:val="18"/>
                <w:szCs w:val="18"/>
                <w:lang w:val="es-MX"/>
              </w:rPr>
              <w:t>Nombre</w:t>
            </w:r>
            <w:proofErr w:type="spellEnd"/>
          </w:p>
        </w:tc>
      </w:tr>
      <w:tr w:rsidR="002D0627" w:rsidTr="00B9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70C8C" w:rsidRDefault="00370C8C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AlmacenID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Almacén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8756E8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Almacén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CF4CA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16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8E4937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VENCentroDistHist</w:t>
            </w:r>
            <w:r w:rsidR="00CF4CAC">
              <w:rPr>
                <w:sz w:val="18"/>
                <w:szCs w:val="18"/>
                <w:lang w:val="es-MX"/>
              </w:rPr>
              <w:t>.AlmacenID</w:t>
            </w:r>
            <w:proofErr w:type="spellEnd"/>
          </w:p>
        </w:tc>
      </w:tr>
      <w:tr w:rsidR="002D0627" w:rsidTr="00B96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70C8C" w:rsidRDefault="00370C8C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Almacen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Almacén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Almacén</w:t>
            </w: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(</w:t>
            </w:r>
            <w:r w:rsidR="00CF4CAC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40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CF4CAC" w:rsidP="00B96024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Almacen.Nombre</w:t>
            </w:r>
            <w:proofErr w:type="spellEnd"/>
          </w:p>
        </w:tc>
      </w:tr>
      <w:tr w:rsidR="002D0627" w:rsidTr="00B96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370C8C" w:rsidRDefault="003E1349" w:rsidP="00B96024">
            <w:pPr>
              <w:spacing w:before="40" w:after="40"/>
              <w:rPr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  <w:lang w:val="es-MX"/>
              </w:rPr>
              <w:t>Kg/</w:t>
            </w: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Lts</w:t>
            </w:r>
            <w:proofErr w:type="spellEnd"/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3E134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Conversión de la cantidad de Productos vendidos a Kilogramos / Litros</w:t>
            </w: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3E1349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Conversión de venta a Kg/</w:t>
            </w:r>
            <w:proofErr w:type="spellStart"/>
            <w:r>
              <w:rPr>
                <w:sz w:val="18"/>
                <w:szCs w:val="18"/>
                <w:lang w:val="es-MX"/>
              </w:rPr>
              <w:t>Lts</w:t>
            </w:r>
            <w:proofErr w:type="spellEnd"/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692719" w:rsidP="00B96024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370C8C" w:rsidRDefault="0029312F" w:rsidP="00B9602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TransProd</w:t>
            </w:r>
            <w:r w:rsidR="003E1349">
              <w:rPr>
                <w:sz w:val="18"/>
                <w:szCs w:val="18"/>
                <w:lang w:val="es-MX"/>
              </w:rPr>
              <w:t>Detalle.Cantidad</w:t>
            </w:r>
            <w:proofErr w:type="spellEnd"/>
            <w:r w:rsidR="003E1349">
              <w:rPr>
                <w:sz w:val="18"/>
                <w:szCs w:val="18"/>
                <w:lang w:val="es-MX"/>
              </w:rPr>
              <w:t xml:space="preserve"> * </w:t>
            </w:r>
            <w:proofErr w:type="spellStart"/>
            <w:r w:rsidR="003E1349">
              <w:rPr>
                <w:sz w:val="18"/>
                <w:szCs w:val="18"/>
                <w:lang w:val="es-MX"/>
              </w:rPr>
              <w:t>ProductoUnidad</w:t>
            </w:r>
            <w:proofErr w:type="spellEnd"/>
            <w:r w:rsidR="003E1349">
              <w:rPr>
                <w:sz w:val="18"/>
                <w:szCs w:val="18"/>
                <w:lang w:val="es-MX"/>
              </w:rPr>
              <w:t>*</w:t>
            </w:r>
            <w:proofErr w:type="spellStart"/>
            <w:r w:rsidR="003E1349">
              <w:rPr>
                <w:sz w:val="18"/>
                <w:szCs w:val="18"/>
                <w:lang w:val="es-MX"/>
              </w:rPr>
              <w:t>KgLts</w:t>
            </w:r>
            <w:proofErr w:type="spellEnd"/>
          </w:p>
        </w:tc>
      </w:tr>
    </w:tbl>
    <w:p w:rsidR="003E1349" w:rsidRPr="00654D76" w:rsidRDefault="003E1349" w:rsidP="00654D76">
      <w:pPr>
        <w:rPr>
          <w:b/>
        </w:rPr>
      </w:pPr>
    </w:p>
    <w:p w:rsidR="003E1349" w:rsidRPr="00654D76" w:rsidRDefault="003E1349" w:rsidP="00654D76">
      <w:pPr>
        <w:rPr>
          <w:b/>
        </w:rPr>
      </w:pPr>
    </w:p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Filtros</w:t>
      </w:r>
    </w:p>
    <w:p w:rsidR="00654D76" w:rsidRDefault="00654D76" w:rsidP="007F1E9C">
      <w:pPr>
        <w:pStyle w:val="Prrafodelista"/>
        <w:numPr>
          <w:ilvl w:val="2"/>
          <w:numId w:val="15"/>
        </w:numPr>
        <w:rPr>
          <w:sz w:val="20"/>
        </w:rPr>
      </w:pPr>
      <w:r>
        <w:rPr>
          <w:sz w:val="20"/>
        </w:rPr>
        <w:t>Centro de Distribución</w:t>
      </w:r>
    </w:p>
    <w:p w:rsidR="007F1E9C" w:rsidRPr="007F1E9C" w:rsidRDefault="007F1E9C" w:rsidP="007F1E9C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Centro de Distribución</w:t>
      </w:r>
      <w:r w:rsidR="00731315">
        <w:rPr>
          <w:sz w:val="20"/>
        </w:rPr>
        <w:t xml:space="preserve"> / Rutas / Vendedores</w:t>
      </w:r>
    </w:p>
    <w:p w:rsidR="007F1E9C" w:rsidRDefault="007F1E9C" w:rsidP="007F1E9C">
      <w:pPr>
        <w:pStyle w:val="Prrafodelista"/>
        <w:numPr>
          <w:ilvl w:val="2"/>
          <w:numId w:val="15"/>
        </w:numPr>
        <w:rPr>
          <w:sz w:val="20"/>
        </w:rPr>
      </w:pPr>
      <w:r w:rsidRPr="007F1E9C">
        <w:rPr>
          <w:sz w:val="20"/>
        </w:rPr>
        <w:t>Rango de Fechas</w:t>
      </w:r>
    </w:p>
    <w:p w:rsidR="00FB77C2" w:rsidRDefault="00FB77C2" w:rsidP="007F1E9C">
      <w:pPr>
        <w:pStyle w:val="Prrafodelista"/>
        <w:numPr>
          <w:ilvl w:val="2"/>
          <w:numId w:val="15"/>
        </w:numPr>
        <w:rPr>
          <w:sz w:val="20"/>
        </w:rPr>
      </w:pPr>
      <w:r>
        <w:rPr>
          <w:sz w:val="20"/>
        </w:rPr>
        <w:t>Año</w:t>
      </w:r>
    </w:p>
    <w:p w:rsidR="00FB77C2" w:rsidRDefault="00DD3E25" w:rsidP="007F1E9C">
      <w:pPr>
        <w:pStyle w:val="Prrafodelista"/>
        <w:numPr>
          <w:ilvl w:val="2"/>
          <w:numId w:val="15"/>
        </w:numPr>
        <w:rPr>
          <w:sz w:val="20"/>
        </w:rPr>
      </w:pPr>
      <w:r>
        <w:rPr>
          <w:sz w:val="20"/>
        </w:rPr>
        <w:t>Importe/</w:t>
      </w:r>
      <w:proofErr w:type="spellStart"/>
      <w:r>
        <w:rPr>
          <w:sz w:val="20"/>
        </w:rPr>
        <w:t>KgLts</w:t>
      </w:r>
      <w:proofErr w:type="spellEnd"/>
    </w:p>
    <w:p w:rsidR="0068562C" w:rsidRDefault="0068562C" w:rsidP="0068562C">
      <w:pPr>
        <w:pStyle w:val="Prrafodelista"/>
        <w:ind w:left="792"/>
        <w:rPr>
          <w:sz w:val="20"/>
        </w:rPr>
      </w:pPr>
    </w:p>
    <w:p w:rsidR="0029312F" w:rsidRDefault="0029312F" w:rsidP="0068562C">
      <w:pPr>
        <w:pStyle w:val="Prrafodelista"/>
        <w:ind w:left="792"/>
        <w:rPr>
          <w:sz w:val="20"/>
        </w:rPr>
      </w:pPr>
      <w:r>
        <w:rPr>
          <w:sz w:val="20"/>
        </w:rPr>
        <w:t>De manera inicial aparecerá el fi</w:t>
      </w:r>
      <w:r w:rsidR="00671CA1">
        <w:rPr>
          <w:sz w:val="20"/>
        </w:rPr>
        <w:t xml:space="preserve">ltro para seleccionar los CEDIS, si se decide obtener información de los CEDIS en general (si seleccionan el </w:t>
      </w:r>
      <w:proofErr w:type="spellStart"/>
      <w:r w:rsidR="00671CA1">
        <w:rPr>
          <w:sz w:val="20"/>
        </w:rPr>
        <w:t>check</w:t>
      </w:r>
      <w:proofErr w:type="spellEnd"/>
      <w:r w:rsidR="00671CA1">
        <w:rPr>
          <w:sz w:val="20"/>
        </w:rPr>
        <w:t xml:space="preserve"> de filtrar por CEDI), entonces ya no se presentaran los filtros de vendedor ni el de ruta. En caso de </w:t>
      </w:r>
      <w:r w:rsidR="00685880">
        <w:rPr>
          <w:sz w:val="20"/>
        </w:rPr>
        <w:t xml:space="preserve"> </w:t>
      </w:r>
      <w:r w:rsidR="00671CA1">
        <w:rPr>
          <w:sz w:val="20"/>
        </w:rPr>
        <w:t>que se decida filtrar por Ruta o por Vendedor, el filtro de CEDI servirá para obtener los Vendedores o Rutas relacionadas a los CEDIS seleccionados.</w:t>
      </w:r>
    </w:p>
    <w:p w:rsidR="00671CA1" w:rsidRDefault="00671CA1" w:rsidP="0068562C">
      <w:pPr>
        <w:pStyle w:val="Prrafodelista"/>
        <w:ind w:left="792"/>
        <w:rPr>
          <w:sz w:val="20"/>
        </w:rPr>
      </w:pPr>
    </w:p>
    <w:p w:rsidR="0068562C" w:rsidRDefault="0068562C" w:rsidP="0068562C">
      <w:pPr>
        <w:pStyle w:val="Prrafodelista"/>
        <w:ind w:left="792"/>
        <w:rPr>
          <w:sz w:val="20"/>
        </w:rPr>
      </w:pPr>
      <w:r>
        <w:rPr>
          <w:sz w:val="20"/>
        </w:rPr>
        <w:t>Los filtros de Centro de Distribución, Rutas y Vendedores, serán de manera excluyentes, es decir solo se permitirá la selección de uno a la vez. Los filtros de Rutas y Vendedores serán multiselecci</w:t>
      </w:r>
      <w:r w:rsidR="00F27540">
        <w:rPr>
          <w:sz w:val="20"/>
        </w:rPr>
        <w:t>ón desde una Ruta o Vend</w:t>
      </w:r>
      <w:r>
        <w:rPr>
          <w:sz w:val="20"/>
        </w:rPr>
        <w:t>edor hasta  “N”.</w:t>
      </w:r>
    </w:p>
    <w:p w:rsidR="00A51295" w:rsidRDefault="00A51295" w:rsidP="0068562C">
      <w:pPr>
        <w:pStyle w:val="Prrafodelista"/>
        <w:ind w:left="792"/>
        <w:rPr>
          <w:sz w:val="20"/>
        </w:rPr>
      </w:pPr>
    </w:p>
    <w:p w:rsidR="00A51295" w:rsidRDefault="00A51295" w:rsidP="0068562C">
      <w:pPr>
        <w:pStyle w:val="Prrafodelista"/>
        <w:ind w:left="792"/>
        <w:rPr>
          <w:sz w:val="20"/>
        </w:rPr>
      </w:pPr>
      <w:r>
        <w:rPr>
          <w:sz w:val="20"/>
        </w:rPr>
        <w:t>En el filtro de Rango de Fechas solo se permitirá la selección de las fechas correspondientes al año actual, si se selecciona alguna otra fecha se enviará un mens</w:t>
      </w:r>
      <w:r w:rsidR="00685880">
        <w:rPr>
          <w:sz w:val="20"/>
        </w:rPr>
        <w:t>aje</w:t>
      </w:r>
      <w:r w:rsidR="007551E0">
        <w:rPr>
          <w:sz w:val="20"/>
        </w:rPr>
        <w:t xml:space="preserve"> </w:t>
      </w:r>
      <w:r w:rsidR="00685880">
        <w:rPr>
          <w:sz w:val="20"/>
        </w:rPr>
        <w:t xml:space="preserve"> “</w:t>
      </w:r>
      <w:r w:rsidR="007551E0">
        <w:rPr>
          <w:sz w:val="20"/>
        </w:rPr>
        <w:t>Solo se permite la selección de Fechas correspondientes al año Actual</w:t>
      </w:r>
      <w:r w:rsidR="00685880">
        <w:rPr>
          <w:sz w:val="20"/>
        </w:rPr>
        <w:t>”.</w:t>
      </w:r>
    </w:p>
    <w:p w:rsidR="00685880" w:rsidRDefault="00685880" w:rsidP="0068562C">
      <w:pPr>
        <w:pStyle w:val="Prrafodelista"/>
        <w:ind w:left="792"/>
        <w:rPr>
          <w:sz w:val="20"/>
        </w:rPr>
      </w:pPr>
    </w:p>
    <w:p w:rsidR="007C1C76" w:rsidRDefault="00685880" w:rsidP="007C1C76">
      <w:pPr>
        <w:pStyle w:val="Prrafodelista"/>
        <w:ind w:left="792"/>
        <w:rPr>
          <w:sz w:val="20"/>
        </w:rPr>
      </w:pPr>
      <w:r>
        <w:rPr>
          <w:sz w:val="20"/>
        </w:rPr>
        <w:t>En el filtro de Año, solo se presentarán los años que estén relacionado</w:t>
      </w:r>
      <w:r w:rsidR="00602515">
        <w:rPr>
          <w:sz w:val="20"/>
        </w:rPr>
        <w:t>s a las transacciones filtradas, exceptuando el año en curso</w:t>
      </w:r>
      <w:r w:rsidR="007C1C76">
        <w:rPr>
          <w:sz w:val="20"/>
        </w:rPr>
        <w:t xml:space="preserve"> y se permitirá la selección de uno o más años.</w:t>
      </w:r>
    </w:p>
    <w:p w:rsidR="007C1C76" w:rsidRDefault="007C1C76" w:rsidP="007C1C76">
      <w:pPr>
        <w:pStyle w:val="Prrafodelista"/>
        <w:ind w:left="792"/>
        <w:rPr>
          <w:sz w:val="20"/>
        </w:rPr>
      </w:pPr>
    </w:p>
    <w:p w:rsidR="007C1C76" w:rsidRPr="007C1C76" w:rsidRDefault="007C1C76" w:rsidP="007C1C76">
      <w:pPr>
        <w:pStyle w:val="Prrafodelista"/>
        <w:ind w:left="792"/>
        <w:rPr>
          <w:sz w:val="20"/>
        </w:rPr>
      </w:pPr>
      <w:r>
        <w:rPr>
          <w:sz w:val="20"/>
        </w:rPr>
        <w:lastRenderedPageBreak/>
        <w:t xml:space="preserve">El filtro de Importe / </w:t>
      </w:r>
      <w:proofErr w:type="spellStart"/>
      <w:r>
        <w:rPr>
          <w:sz w:val="20"/>
        </w:rPr>
        <w:t>KgLts</w:t>
      </w:r>
      <w:proofErr w:type="spellEnd"/>
      <w:r>
        <w:rPr>
          <w:sz w:val="20"/>
        </w:rPr>
        <w:t xml:space="preserve"> se utilizará para representar la informaci</w:t>
      </w:r>
      <w:r w:rsidR="007551E0">
        <w:rPr>
          <w:sz w:val="20"/>
        </w:rPr>
        <w:t xml:space="preserve">ón, en caso que se seleccione por Importe, se representará gráficamente el total de las ventas y si fuera por </w:t>
      </w:r>
      <w:proofErr w:type="spellStart"/>
      <w:r w:rsidR="007551E0">
        <w:rPr>
          <w:sz w:val="20"/>
        </w:rPr>
        <w:t>KgLts</w:t>
      </w:r>
      <w:proofErr w:type="spellEnd"/>
      <w:r w:rsidR="007551E0">
        <w:rPr>
          <w:sz w:val="20"/>
        </w:rPr>
        <w:t xml:space="preserve"> se mostrará el equivalente de la venta ya sea en kilogramos o litros. Este último filtro solo aparecerá en el caso de que se encuentre activado el </w:t>
      </w:r>
      <w:proofErr w:type="spellStart"/>
      <w:r w:rsidR="007551E0">
        <w:rPr>
          <w:sz w:val="20"/>
        </w:rPr>
        <w:t>check</w:t>
      </w:r>
      <w:proofErr w:type="spellEnd"/>
      <w:r w:rsidR="007551E0">
        <w:rPr>
          <w:sz w:val="20"/>
        </w:rPr>
        <w:t xml:space="preserve"> “</w:t>
      </w:r>
      <w:proofErr w:type="spellStart"/>
      <w:r w:rsidR="007551E0">
        <w:rPr>
          <w:sz w:val="20"/>
        </w:rPr>
        <w:t>KgLts</w:t>
      </w:r>
      <w:proofErr w:type="spellEnd"/>
      <w:r w:rsidR="007551E0">
        <w:rPr>
          <w:sz w:val="20"/>
        </w:rPr>
        <w:t>” que  se encuentra en la configuración general.</w:t>
      </w:r>
    </w:p>
    <w:p w:rsidR="00EC648A" w:rsidRDefault="00EC648A" w:rsidP="00D41B72"/>
    <w:p w:rsidR="0083033D" w:rsidRDefault="001543B8" w:rsidP="00BE16F2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Gráficos</w:t>
      </w:r>
    </w:p>
    <w:p w:rsidR="00281CBD" w:rsidRPr="00281CBD" w:rsidRDefault="00281CBD" w:rsidP="00281CBD">
      <w:pPr>
        <w:ind w:left="360"/>
        <w:rPr>
          <w:sz w:val="20"/>
        </w:rPr>
      </w:pPr>
      <w:r>
        <w:rPr>
          <w:sz w:val="20"/>
        </w:rPr>
        <w:t xml:space="preserve">La grafica se representará a nivel mensual </w:t>
      </w:r>
      <w:r w:rsidR="0052462A">
        <w:rPr>
          <w:sz w:val="20"/>
        </w:rPr>
        <w:t xml:space="preserve">tomando el acumulado de las transacciones tanto del total en caso de la gráfica de importe como los </w:t>
      </w:r>
      <w:proofErr w:type="spellStart"/>
      <w:r w:rsidR="0052462A">
        <w:rPr>
          <w:sz w:val="20"/>
        </w:rPr>
        <w:t>KgLts</w:t>
      </w:r>
      <w:proofErr w:type="spellEnd"/>
      <w:r w:rsidR="0052462A">
        <w:rPr>
          <w:sz w:val="20"/>
        </w:rPr>
        <w:t>.</w:t>
      </w:r>
    </w:p>
    <w:p w:rsidR="00781B38" w:rsidRDefault="00781B38" w:rsidP="00A541CD">
      <w:pPr>
        <w:ind w:left="360"/>
        <w:jc w:val="center"/>
      </w:pPr>
    </w:p>
    <w:p w:rsidR="00006FF8" w:rsidRDefault="00BE16F2" w:rsidP="00A541CD">
      <w:pPr>
        <w:ind w:left="360"/>
        <w:jc w:val="center"/>
      </w:pPr>
      <w:r>
        <w:rPr>
          <w:noProof/>
          <w:lang w:val="es-MX" w:eastAsia="es-MX"/>
        </w:rPr>
        <w:drawing>
          <wp:inline distT="0" distB="0" distL="0" distR="0" wp14:anchorId="648D3EC3" wp14:editId="19AD9B9B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A0EC0" w:rsidRDefault="00DA0EC0" w:rsidP="00654D76"/>
    <w:p w:rsidR="00DA0EC0" w:rsidRDefault="00DA0EC0" w:rsidP="00A541CD">
      <w:pPr>
        <w:ind w:left="360"/>
        <w:jc w:val="center"/>
      </w:pPr>
    </w:p>
    <w:p w:rsidR="00BE16F2" w:rsidRDefault="00BE16F2" w:rsidP="00A541CD">
      <w:pPr>
        <w:ind w:left="360"/>
        <w:jc w:val="center"/>
      </w:pPr>
    </w:p>
    <w:p w:rsidR="00DA0EC0" w:rsidRDefault="00DA0EC0" w:rsidP="00DA0EC0">
      <w:pPr>
        <w:ind w:left="360"/>
      </w:pPr>
      <w:r>
        <w:t xml:space="preserve">Esta grafica aparecerá solo en caso de que se seleccione una línea de cualquiera de los años que se encuentran representados en la </w:t>
      </w:r>
      <w:r w:rsidR="002B17E5">
        <w:t xml:space="preserve">gráfica de la </w:t>
      </w:r>
      <w:r>
        <w:t xml:space="preserve"> parte superior, ya sea el filtrado por CEDI, por Vendedor o Por Ruta, en ella </w:t>
      </w:r>
      <w:r w:rsidR="002B17E5">
        <w:t>se pretende mostrar a nivel de detalle, lo vendido</w:t>
      </w:r>
      <w:r w:rsidR="00553BE6">
        <w:t xml:space="preserve"> (en importe o en </w:t>
      </w:r>
      <w:proofErr w:type="spellStart"/>
      <w:r w:rsidR="00553BE6">
        <w:t>KgLts</w:t>
      </w:r>
      <w:proofErr w:type="spellEnd"/>
      <w:r w:rsidR="00553BE6">
        <w:t xml:space="preserve">) </w:t>
      </w:r>
      <w:r w:rsidR="002B17E5">
        <w:t xml:space="preserve"> agrupado de a</w:t>
      </w:r>
      <w:r w:rsidR="00553BE6">
        <w:t>cuerdo al filtro seleccionado.</w:t>
      </w:r>
    </w:p>
    <w:p w:rsidR="00DA0EC0" w:rsidRDefault="00DA0EC0" w:rsidP="00DA0EC0">
      <w:pPr>
        <w:ind w:left="360"/>
      </w:pPr>
    </w:p>
    <w:p w:rsidR="00BE16F2" w:rsidRDefault="00BE16F2" w:rsidP="00A541CD">
      <w:pPr>
        <w:ind w:left="360"/>
        <w:jc w:val="center"/>
      </w:pPr>
    </w:p>
    <w:p w:rsidR="00006FF8" w:rsidRDefault="00BE16F2" w:rsidP="00BE16F2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343737D7" wp14:editId="4566053A">
            <wp:extent cx="4572000" cy="2743200"/>
            <wp:effectExtent l="0" t="0" r="19050" b="1905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86401" w:rsidRDefault="00486401" w:rsidP="00DA0EC0"/>
    <w:p w:rsidR="00486401" w:rsidRDefault="00486401" w:rsidP="00A541CD">
      <w:pPr>
        <w:ind w:left="360"/>
        <w:jc w:val="center"/>
      </w:pPr>
    </w:p>
    <w:p w:rsidR="00006FF8" w:rsidRDefault="00006FF8" w:rsidP="00A541CD">
      <w:pPr>
        <w:ind w:left="360"/>
        <w:jc w:val="center"/>
      </w:pPr>
    </w:p>
    <w:p w:rsidR="00006FF8" w:rsidRDefault="00006FF8" w:rsidP="00DA0EC0"/>
    <w:p w:rsidR="001543B8" w:rsidRPr="00B26750" w:rsidRDefault="001543B8" w:rsidP="001543B8">
      <w:pPr>
        <w:pStyle w:val="Prrafodelista"/>
        <w:numPr>
          <w:ilvl w:val="1"/>
          <w:numId w:val="15"/>
        </w:numPr>
        <w:rPr>
          <w:b/>
        </w:rPr>
      </w:pPr>
      <w:r w:rsidRPr="00B26750">
        <w:rPr>
          <w:b/>
        </w:rPr>
        <w:t>Información a Consultar</w:t>
      </w:r>
    </w:p>
    <w:p w:rsidR="00EC648A" w:rsidRDefault="00EC648A" w:rsidP="00EC648A">
      <w:pPr>
        <w:pStyle w:val="Prrafodelista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Tablas Relacionadas</w:t>
      </w:r>
    </w:p>
    <w:p w:rsidR="00EC648A" w:rsidRDefault="00670E08" w:rsidP="003D762A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TransProd</w:t>
      </w:r>
      <w:proofErr w:type="spellEnd"/>
    </w:p>
    <w:p w:rsidR="00670E08" w:rsidRDefault="008355A4" w:rsidP="003D762A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18"/>
          <w:szCs w:val="18"/>
          <w:lang w:val="es-MX"/>
        </w:rPr>
        <w:t>VENCentroDistHist</w:t>
      </w:r>
      <w:proofErr w:type="spellEnd"/>
    </w:p>
    <w:p w:rsidR="003D762A" w:rsidRDefault="0006472E" w:rsidP="003D762A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Visita</w:t>
      </w:r>
    </w:p>
    <w:p w:rsidR="0079098B" w:rsidRDefault="0079098B" w:rsidP="003D762A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Almacen</w:t>
      </w:r>
      <w:proofErr w:type="spellEnd"/>
    </w:p>
    <w:p w:rsidR="00F8500C" w:rsidRDefault="00F8500C" w:rsidP="003D762A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Ruta</w:t>
      </w:r>
    </w:p>
    <w:p w:rsidR="00F8500C" w:rsidRDefault="00F8500C" w:rsidP="003D762A">
      <w:pPr>
        <w:pStyle w:val="Prrafodelista"/>
        <w:numPr>
          <w:ilvl w:val="3"/>
          <w:numId w:val="15"/>
        </w:numPr>
        <w:rPr>
          <w:sz w:val="20"/>
        </w:rPr>
      </w:pPr>
      <w:r>
        <w:rPr>
          <w:sz w:val="20"/>
        </w:rPr>
        <w:t>Vendedor</w:t>
      </w:r>
    </w:p>
    <w:p w:rsidR="008355A4" w:rsidRDefault="008355A4" w:rsidP="003D762A">
      <w:pPr>
        <w:pStyle w:val="Prrafodelista"/>
        <w:numPr>
          <w:ilvl w:val="3"/>
          <w:numId w:val="15"/>
        </w:numPr>
        <w:rPr>
          <w:sz w:val="20"/>
        </w:rPr>
      </w:pPr>
      <w:proofErr w:type="spellStart"/>
      <w:r>
        <w:rPr>
          <w:sz w:val="20"/>
        </w:rPr>
        <w:t>ProductoUnidad</w:t>
      </w:r>
      <w:proofErr w:type="spellEnd"/>
    </w:p>
    <w:p w:rsidR="003D762A" w:rsidRPr="003D762A" w:rsidRDefault="003D762A" w:rsidP="003D762A">
      <w:pPr>
        <w:ind w:left="1080"/>
        <w:rPr>
          <w:sz w:val="20"/>
        </w:rPr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Consulta a Realizar</w:t>
      </w:r>
    </w:p>
    <w:p w:rsidR="00E00E74" w:rsidRDefault="00E00E74" w:rsidP="002C5306">
      <w:pPr>
        <w:ind w:left="720"/>
        <w:rPr>
          <w:sz w:val="20"/>
        </w:rPr>
      </w:pPr>
    </w:p>
    <w:p w:rsidR="008355A4" w:rsidRDefault="008355A4" w:rsidP="002C5306">
      <w:pPr>
        <w:ind w:left="720"/>
        <w:rPr>
          <w:sz w:val="20"/>
        </w:rPr>
      </w:pPr>
      <w:r>
        <w:rPr>
          <w:sz w:val="20"/>
        </w:rPr>
        <w:t>Se deberán obtener todas las transacciones</w:t>
      </w:r>
      <w:r w:rsidR="00E71F33">
        <w:rPr>
          <w:sz w:val="20"/>
        </w:rPr>
        <w:t xml:space="preserve"> de tipo pedido que  hayan sido surtidas dentro del rango de fechas filtradas y que además coincidan también con el vendedor, ruta o cedi (dependiendo de qué manera se decidiera filtrar) y se obtendrá el total de la transacción si el indicador corresponde al de importe, si el indicador corresponde al de </w:t>
      </w:r>
      <w:proofErr w:type="spellStart"/>
      <w:r w:rsidR="00E71F33">
        <w:rPr>
          <w:sz w:val="20"/>
        </w:rPr>
        <w:t>KgLts</w:t>
      </w:r>
      <w:proofErr w:type="spellEnd"/>
      <w:r w:rsidR="00E71F33">
        <w:rPr>
          <w:sz w:val="20"/>
        </w:rPr>
        <w:t xml:space="preserve"> se obtendrá cada uno de los detalles de la transacción y se multiplicará por el factor que le corresponda de acuerdo a lo que se encuentra en el campo </w:t>
      </w:r>
      <w:proofErr w:type="spellStart"/>
      <w:r w:rsidR="00E71F33">
        <w:rPr>
          <w:sz w:val="20"/>
        </w:rPr>
        <w:t>KgLts</w:t>
      </w:r>
      <w:proofErr w:type="spellEnd"/>
      <w:r w:rsidR="00E71F33">
        <w:rPr>
          <w:sz w:val="20"/>
        </w:rPr>
        <w:t xml:space="preserve"> de la tabla </w:t>
      </w:r>
      <w:proofErr w:type="spellStart"/>
      <w:r w:rsidR="00E71F33">
        <w:rPr>
          <w:sz w:val="20"/>
        </w:rPr>
        <w:t>ProductoUnidad</w:t>
      </w:r>
      <w:proofErr w:type="spellEnd"/>
      <w:r w:rsidR="00E71F33">
        <w:rPr>
          <w:sz w:val="20"/>
        </w:rPr>
        <w:t>.</w:t>
      </w:r>
    </w:p>
    <w:p w:rsidR="00E71F33" w:rsidRDefault="00E71F33" w:rsidP="002C5306">
      <w:pPr>
        <w:ind w:left="720"/>
        <w:rPr>
          <w:sz w:val="20"/>
        </w:rPr>
      </w:pPr>
    </w:p>
    <w:p w:rsidR="00E71F33" w:rsidRDefault="00940E8E" w:rsidP="002C5306">
      <w:pPr>
        <w:ind w:left="720"/>
        <w:rPr>
          <w:sz w:val="20"/>
        </w:rPr>
      </w:pPr>
      <w:r>
        <w:rPr>
          <w:sz w:val="20"/>
        </w:rPr>
        <w:t>El vendedor y la Ruta se obtendr</w:t>
      </w:r>
      <w:r w:rsidR="00281CBD">
        <w:rPr>
          <w:sz w:val="20"/>
        </w:rPr>
        <w:t xml:space="preserve">án de la Visita y el Almacén de </w:t>
      </w:r>
      <w:proofErr w:type="spellStart"/>
      <w:r w:rsidR="00281CBD">
        <w:rPr>
          <w:sz w:val="18"/>
          <w:szCs w:val="18"/>
          <w:lang w:val="es-MX"/>
        </w:rPr>
        <w:t>VENCentroDistHist</w:t>
      </w:r>
      <w:proofErr w:type="spellEnd"/>
      <w:r w:rsidR="00281CBD">
        <w:rPr>
          <w:sz w:val="18"/>
          <w:szCs w:val="18"/>
          <w:lang w:val="es-MX"/>
        </w:rPr>
        <w:t>.</w:t>
      </w:r>
    </w:p>
    <w:p w:rsidR="00940E8E" w:rsidRPr="008F10FE" w:rsidRDefault="00940E8E" w:rsidP="002C5306">
      <w:pPr>
        <w:ind w:left="720"/>
        <w:rPr>
          <w:sz w:val="20"/>
        </w:rPr>
      </w:pPr>
      <w:r>
        <w:rPr>
          <w:sz w:val="20"/>
        </w:rPr>
        <w:t xml:space="preserve">El nombre del </w:t>
      </w:r>
      <w:r w:rsidR="00281CBD">
        <w:rPr>
          <w:sz w:val="20"/>
        </w:rPr>
        <w:t>Vendedor, Ruta y Almacén, se obtienen de sus tablas nativas.</w:t>
      </w:r>
    </w:p>
    <w:sectPr w:rsidR="00940E8E" w:rsidRPr="008F10FE" w:rsidSect="00392880">
      <w:headerReference w:type="default" r:id="rId11"/>
      <w:footerReference w:type="even" r:id="rId12"/>
      <w:footerReference w:type="default" r:id="rId13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183" w:rsidRDefault="00C37183" w:rsidP="00514F06">
      <w:pPr>
        <w:pStyle w:val="Ttulo1"/>
      </w:pPr>
      <w:r>
        <w:separator/>
      </w:r>
    </w:p>
  </w:endnote>
  <w:endnote w:type="continuationSeparator" w:id="0">
    <w:p w:rsidR="00C37183" w:rsidRDefault="00C3718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EC648A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C648A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216E2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216E2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183" w:rsidRDefault="00C37183" w:rsidP="00514F06">
      <w:pPr>
        <w:pStyle w:val="Ttulo1"/>
      </w:pPr>
      <w:r>
        <w:separator/>
      </w:r>
    </w:p>
  </w:footnote>
  <w:footnote w:type="continuationSeparator" w:id="0">
    <w:p w:rsidR="00C37183" w:rsidRDefault="00C3718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D751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55070882" wp14:editId="09DE3C65">
          <wp:simplePos x="0" y="0"/>
          <wp:positionH relativeFrom="column">
            <wp:posOffset>4595495</wp:posOffset>
          </wp:positionH>
          <wp:positionV relativeFrom="paragraph">
            <wp:posOffset>-264795</wp:posOffset>
          </wp:positionV>
          <wp:extent cx="1838325" cy="655816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55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47A"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F0D84" wp14:editId="5BF65A7E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  <w:r w:rsidR="00EC648A"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86C3F92"/>
    <w:multiLevelType w:val="multilevel"/>
    <w:tmpl w:val="781C4F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EE72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9BA226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762695B"/>
    <w:multiLevelType w:val="hybridMultilevel"/>
    <w:tmpl w:val="A66C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08CD"/>
    <w:rsid w:val="00006873"/>
    <w:rsid w:val="00006FF8"/>
    <w:rsid w:val="00030ADC"/>
    <w:rsid w:val="000330BE"/>
    <w:rsid w:val="00033722"/>
    <w:rsid w:val="00034148"/>
    <w:rsid w:val="00037466"/>
    <w:rsid w:val="00047BA4"/>
    <w:rsid w:val="0005001B"/>
    <w:rsid w:val="00055766"/>
    <w:rsid w:val="00056020"/>
    <w:rsid w:val="00063B01"/>
    <w:rsid w:val="0006472E"/>
    <w:rsid w:val="000671A5"/>
    <w:rsid w:val="00074319"/>
    <w:rsid w:val="0007527A"/>
    <w:rsid w:val="00082AAD"/>
    <w:rsid w:val="00082CD4"/>
    <w:rsid w:val="000844C6"/>
    <w:rsid w:val="00096362"/>
    <w:rsid w:val="000A2BB6"/>
    <w:rsid w:val="000A5CDA"/>
    <w:rsid w:val="000A74DD"/>
    <w:rsid w:val="000A77DF"/>
    <w:rsid w:val="000B50AE"/>
    <w:rsid w:val="000B523A"/>
    <w:rsid w:val="000B5641"/>
    <w:rsid w:val="000C45BD"/>
    <w:rsid w:val="000D0B96"/>
    <w:rsid w:val="000D51A7"/>
    <w:rsid w:val="000D5B6A"/>
    <w:rsid w:val="000E30AC"/>
    <w:rsid w:val="000F15F8"/>
    <w:rsid w:val="000F175B"/>
    <w:rsid w:val="000F1AED"/>
    <w:rsid w:val="000F31CD"/>
    <w:rsid w:val="000F3582"/>
    <w:rsid w:val="000F6193"/>
    <w:rsid w:val="00103CD5"/>
    <w:rsid w:val="00111303"/>
    <w:rsid w:val="001117A7"/>
    <w:rsid w:val="0011637E"/>
    <w:rsid w:val="001216E2"/>
    <w:rsid w:val="00125E35"/>
    <w:rsid w:val="001334FF"/>
    <w:rsid w:val="0013530E"/>
    <w:rsid w:val="00136627"/>
    <w:rsid w:val="001416D3"/>
    <w:rsid w:val="001425BD"/>
    <w:rsid w:val="001436DC"/>
    <w:rsid w:val="00152C0A"/>
    <w:rsid w:val="001543B8"/>
    <w:rsid w:val="00155B9F"/>
    <w:rsid w:val="00157606"/>
    <w:rsid w:val="00160034"/>
    <w:rsid w:val="0017022B"/>
    <w:rsid w:val="0017341C"/>
    <w:rsid w:val="0017419E"/>
    <w:rsid w:val="001755EA"/>
    <w:rsid w:val="0017686C"/>
    <w:rsid w:val="00177278"/>
    <w:rsid w:val="00183F8B"/>
    <w:rsid w:val="00184046"/>
    <w:rsid w:val="00193F6E"/>
    <w:rsid w:val="001A0596"/>
    <w:rsid w:val="001A076B"/>
    <w:rsid w:val="001A60C2"/>
    <w:rsid w:val="001B09A2"/>
    <w:rsid w:val="001B100F"/>
    <w:rsid w:val="001B1A4A"/>
    <w:rsid w:val="001B254E"/>
    <w:rsid w:val="001B77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5D01"/>
    <w:rsid w:val="002065C2"/>
    <w:rsid w:val="002177DF"/>
    <w:rsid w:val="00220011"/>
    <w:rsid w:val="00225DC0"/>
    <w:rsid w:val="0022637D"/>
    <w:rsid w:val="00227281"/>
    <w:rsid w:val="002311A2"/>
    <w:rsid w:val="00232C4F"/>
    <w:rsid w:val="002351E6"/>
    <w:rsid w:val="002423AA"/>
    <w:rsid w:val="002424FE"/>
    <w:rsid w:val="00243A2E"/>
    <w:rsid w:val="00243D7B"/>
    <w:rsid w:val="0024718F"/>
    <w:rsid w:val="002503CA"/>
    <w:rsid w:val="00250ED5"/>
    <w:rsid w:val="00251C02"/>
    <w:rsid w:val="00252DE9"/>
    <w:rsid w:val="0025365C"/>
    <w:rsid w:val="002554ED"/>
    <w:rsid w:val="00261EC0"/>
    <w:rsid w:val="00261ED6"/>
    <w:rsid w:val="002679E1"/>
    <w:rsid w:val="0027680F"/>
    <w:rsid w:val="002768E7"/>
    <w:rsid w:val="002775F9"/>
    <w:rsid w:val="00281CBD"/>
    <w:rsid w:val="0029312F"/>
    <w:rsid w:val="00293518"/>
    <w:rsid w:val="002A05B9"/>
    <w:rsid w:val="002B17E5"/>
    <w:rsid w:val="002B1EBB"/>
    <w:rsid w:val="002B258C"/>
    <w:rsid w:val="002B34C8"/>
    <w:rsid w:val="002B4D54"/>
    <w:rsid w:val="002B52ED"/>
    <w:rsid w:val="002B7DAA"/>
    <w:rsid w:val="002C4FDC"/>
    <w:rsid w:val="002C5306"/>
    <w:rsid w:val="002D0627"/>
    <w:rsid w:val="002D6E72"/>
    <w:rsid w:val="002D7C7F"/>
    <w:rsid w:val="002E3308"/>
    <w:rsid w:val="002E67FD"/>
    <w:rsid w:val="002E79E5"/>
    <w:rsid w:val="002E7E53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233"/>
    <w:rsid w:val="0034773B"/>
    <w:rsid w:val="0035410E"/>
    <w:rsid w:val="00360497"/>
    <w:rsid w:val="00367AFC"/>
    <w:rsid w:val="00370C8C"/>
    <w:rsid w:val="003767A1"/>
    <w:rsid w:val="003817A4"/>
    <w:rsid w:val="003907BC"/>
    <w:rsid w:val="00392880"/>
    <w:rsid w:val="003A41CD"/>
    <w:rsid w:val="003A62B0"/>
    <w:rsid w:val="003A7F0E"/>
    <w:rsid w:val="003B24FD"/>
    <w:rsid w:val="003C0957"/>
    <w:rsid w:val="003C0A52"/>
    <w:rsid w:val="003C1C04"/>
    <w:rsid w:val="003C50F8"/>
    <w:rsid w:val="003C58D0"/>
    <w:rsid w:val="003C597C"/>
    <w:rsid w:val="003D762A"/>
    <w:rsid w:val="003E1349"/>
    <w:rsid w:val="003E43EC"/>
    <w:rsid w:val="003E52CB"/>
    <w:rsid w:val="003E5882"/>
    <w:rsid w:val="003E5D6F"/>
    <w:rsid w:val="003F230A"/>
    <w:rsid w:val="003F2901"/>
    <w:rsid w:val="003F2B87"/>
    <w:rsid w:val="003F2EEF"/>
    <w:rsid w:val="00417F67"/>
    <w:rsid w:val="004231DC"/>
    <w:rsid w:val="00433423"/>
    <w:rsid w:val="0043793F"/>
    <w:rsid w:val="00441A47"/>
    <w:rsid w:val="00450F36"/>
    <w:rsid w:val="004515F5"/>
    <w:rsid w:val="0045227F"/>
    <w:rsid w:val="00457052"/>
    <w:rsid w:val="00461371"/>
    <w:rsid w:val="00464C9D"/>
    <w:rsid w:val="004700D4"/>
    <w:rsid w:val="00473B78"/>
    <w:rsid w:val="00476793"/>
    <w:rsid w:val="00481C4A"/>
    <w:rsid w:val="00485373"/>
    <w:rsid w:val="00486401"/>
    <w:rsid w:val="0049112A"/>
    <w:rsid w:val="00491B4C"/>
    <w:rsid w:val="004A4BBA"/>
    <w:rsid w:val="004B0D2E"/>
    <w:rsid w:val="004B0D88"/>
    <w:rsid w:val="004B1F0D"/>
    <w:rsid w:val="004B623B"/>
    <w:rsid w:val="004C75D6"/>
    <w:rsid w:val="004C78B4"/>
    <w:rsid w:val="004D45D6"/>
    <w:rsid w:val="004D6C21"/>
    <w:rsid w:val="004E23D0"/>
    <w:rsid w:val="004E2AB7"/>
    <w:rsid w:val="004E7828"/>
    <w:rsid w:val="004F01C2"/>
    <w:rsid w:val="004F049D"/>
    <w:rsid w:val="004F1C65"/>
    <w:rsid w:val="004F4AB5"/>
    <w:rsid w:val="004F6527"/>
    <w:rsid w:val="00504398"/>
    <w:rsid w:val="005044E8"/>
    <w:rsid w:val="0050675E"/>
    <w:rsid w:val="00514F06"/>
    <w:rsid w:val="0052462A"/>
    <w:rsid w:val="005249B6"/>
    <w:rsid w:val="00533103"/>
    <w:rsid w:val="005334F4"/>
    <w:rsid w:val="00536796"/>
    <w:rsid w:val="00537CB4"/>
    <w:rsid w:val="00544F08"/>
    <w:rsid w:val="00550D63"/>
    <w:rsid w:val="00553BE6"/>
    <w:rsid w:val="00554728"/>
    <w:rsid w:val="005560A2"/>
    <w:rsid w:val="00562629"/>
    <w:rsid w:val="00572DCE"/>
    <w:rsid w:val="00573618"/>
    <w:rsid w:val="005742E9"/>
    <w:rsid w:val="005752E9"/>
    <w:rsid w:val="00580188"/>
    <w:rsid w:val="00590782"/>
    <w:rsid w:val="00591EB1"/>
    <w:rsid w:val="00592D43"/>
    <w:rsid w:val="00593042"/>
    <w:rsid w:val="00594C80"/>
    <w:rsid w:val="00596B48"/>
    <w:rsid w:val="005A09F5"/>
    <w:rsid w:val="005A290F"/>
    <w:rsid w:val="005A3B93"/>
    <w:rsid w:val="005A45B6"/>
    <w:rsid w:val="005B5EB7"/>
    <w:rsid w:val="005C1B2B"/>
    <w:rsid w:val="005C45A9"/>
    <w:rsid w:val="005C6DBF"/>
    <w:rsid w:val="005D0AEC"/>
    <w:rsid w:val="005D1D74"/>
    <w:rsid w:val="005D23A6"/>
    <w:rsid w:val="005E04DB"/>
    <w:rsid w:val="005E1890"/>
    <w:rsid w:val="005F29EF"/>
    <w:rsid w:val="0060151C"/>
    <w:rsid w:val="00602515"/>
    <w:rsid w:val="0060399E"/>
    <w:rsid w:val="0061340C"/>
    <w:rsid w:val="006140D5"/>
    <w:rsid w:val="00614B12"/>
    <w:rsid w:val="00620425"/>
    <w:rsid w:val="0062345C"/>
    <w:rsid w:val="00626421"/>
    <w:rsid w:val="00635285"/>
    <w:rsid w:val="00640AFB"/>
    <w:rsid w:val="00642D3A"/>
    <w:rsid w:val="00651475"/>
    <w:rsid w:val="00652D27"/>
    <w:rsid w:val="00654C3A"/>
    <w:rsid w:val="00654D76"/>
    <w:rsid w:val="00664A3C"/>
    <w:rsid w:val="0067068E"/>
    <w:rsid w:val="00670E08"/>
    <w:rsid w:val="0067172A"/>
    <w:rsid w:val="00671CA1"/>
    <w:rsid w:val="00671DCC"/>
    <w:rsid w:val="006840FF"/>
    <w:rsid w:val="0068562C"/>
    <w:rsid w:val="00685880"/>
    <w:rsid w:val="00692719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0FA4"/>
    <w:rsid w:val="006C20AB"/>
    <w:rsid w:val="006C37FF"/>
    <w:rsid w:val="006C5969"/>
    <w:rsid w:val="006D03BF"/>
    <w:rsid w:val="006D72F3"/>
    <w:rsid w:val="006D7557"/>
    <w:rsid w:val="006D7D1F"/>
    <w:rsid w:val="006E3428"/>
    <w:rsid w:val="006E5DBC"/>
    <w:rsid w:val="006F20AC"/>
    <w:rsid w:val="00700E39"/>
    <w:rsid w:val="007252ED"/>
    <w:rsid w:val="00725FF1"/>
    <w:rsid w:val="00726E50"/>
    <w:rsid w:val="007300B2"/>
    <w:rsid w:val="00730DEC"/>
    <w:rsid w:val="00731315"/>
    <w:rsid w:val="007330AA"/>
    <w:rsid w:val="00736226"/>
    <w:rsid w:val="00737377"/>
    <w:rsid w:val="00740191"/>
    <w:rsid w:val="0074295A"/>
    <w:rsid w:val="00745A0C"/>
    <w:rsid w:val="00746A0D"/>
    <w:rsid w:val="00752DDD"/>
    <w:rsid w:val="007551E0"/>
    <w:rsid w:val="007555CE"/>
    <w:rsid w:val="00762081"/>
    <w:rsid w:val="0077082B"/>
    <w:rsid w:val="0077308C"/>
    <w:rsid w:val="007741B0"/>
    <w:rsid w:val="007745DA"/>
    <w:rsid w:val="00775F8E"/>
    <w:rsid w:val="00781B38"/>
    <w:rsid w:val="00782FA2"/>
    <w:rsid w:val="007833A5"/>
    <w:rsid w:val="00784763"/>
    <w:rsid w:val="00787C1E"/>
    <w:rsid w:val="0079098B"/>
    <w:rsid w:val="00790C54"/>
    <w:rsid w:val="00792917"/>
    <w:rsid w:val="007948BC"/>
    <w:rsid w:val="00797670"/>
    <w:rsid w:val="00797FC3"/>
    <w:rsid w:val="007A1FC8"/>
    <w:rsid w:val="007B6535"/>
    <w:rsid w:val="007B6A76"/>
    <w:rsid w:val="007B7EDC"/>
    <w:rsid w:val="007C1C76"/>
    <w:rsid w:val="007C3BBF"/>
    <w:rsid w:val="007D2D49"/>
    <w:rsid w:val="007D6B46"/>
    <w:rsid w:val="007E2224"/>
    <w:rsid w:val="007E2CC4"/>
    <w:rsid w:val="007E334D"/>
    <w:rsid w:val="007E3AAF"/>
    <w:rsid w:val="007E4E4D"/>
    <w:rsid w:val="007F0C4A"/>
    <w:rsid w:val="007F1E9C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33D"/>
    <w:rsid w:val="00830A3D"/>
    <w:rsid w:val="00833ED3"/>
    <w:rsid w:val="008355A4"/>
    <w:rsid w:val="0084265E"/>
    <w:rsid w:val="0084512F"/>
    <w:rsid w:val="00847B4B"/>
    <w:rsid w:val="00854263"/>
    <w:rsid w:val="0085718B"/>
    <w:rsid w:val="008572D9"/>
    <w:rsid w:val="00857306"/>
    <w:rsid w:val="008577B5"/>
    <w:rsid w:val="00863AEC"/>
    <w:rsid w:val="00864FD8"/>
    <w:rsid w:val="008676EB"/>
    <w:rsid w:val="00872B53"/>
    <w:rsid w:val="008756E8"/>
    <w:rsid w:val="008817CF"/>
    <w:rsid w:val="00883DA2"/>
    <w:rsid w:val="00884C76"/>
    <w:rsid w:val="008935DF"/>
    <w:rsid w:val="00894A0E"/>
    <w:rsid w:val="00894B60"/>
    <w:rsid w:val="00896246"/>
    <w:rsid w:val="008A19C2"/>
    <w:rsid w:val="008A251B"/>
    <w:rsid w:val="008B18D7"/>
    <w:rsid w:val="008B26D9"/>
    <w:rsid w:val="008C27A5"/>
    <w:rsid w:val="008E4937"/>
    <w:rsid w:val="008E4C16"/>
    <w:rsid w:val="008F0F61"/>
    <w:rsid w:val="008F10FE"/>
    <w:rsid w:val="008F2D82"/>
    <w:rsid w:val="008F33E3"/>
    <w:rsid w:val="008F7A87"/>
    <w:rsid w:val="009032E1"/>
    <w:rsid w:val="0090453B"/>
    <w:rsid w:val="0090684A"/>
    <w:rsid w:val="0090793B"/>
    <w:rsid w:val="009158CB"/>
    <w:rsid w:val="00921223"/>
    <w:rsid w:val="00925298"/>
    <w:rsid w:val="0093242A"/>
    <w:rsid w:val="009353A5"/>
    <w:rsid w:val="00937D9A"/>
    <w:rsid w:val="00940E8E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96F17"/>
    <w:rsid w:val="009A375A"/>
    <w:rsid w:val="009B1CDA"/>
    <w:rsid w:val="009B237A"/>
    <w:rsid w:val="009B2EA8"/>
    <w:rsid w:val="009C1103"/>
    <w:rsid w:val="009C131E"/>
    <w:rsid w:val="009C1823"/>
    <w:rsid w:val="009C42D4"/>
    <w:rsid w:val="009C637E"/>
    <w:rsid w:val="009C7322"/>
    <w:rsid w:val="009C7CE7"/>
    <w:rsid w:val="009D1FC7"/>
    <w:rsid w:val="009D2734"/>
    <w:rsid w:val="009D33D4"/>
    <w:rsid w:val="009E653C"/>
    <w:rsid w:val="009F2204"/>
    <w:rsid w:val="009F63D6"/>
    <w:rsid w:val="009F6D98"/>
    <w:rsid w:val="00A006C5"/>
    <w:rsid w:val="00A052FA"/>
    <w:rsid w:val="00A0654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1295"/>
    <w:rsid w:val="00A541CD"/>
    <w:rsid w:val="00A54B9C"/>
    <w:rsid w:val="00A6084F"/>
    <w:rsid w:val="00A62576"/>
    <w:rsid w:val="00A6310B"/>
    <w:rsid w:val="00A64D70"/>
    <w:rsid w:val="00A66BED"/>
    <w:rsid w:val="00A706D0"/>
    <w:rsid w:val="00A71DEC"/>
    <w:rsid w:val="00A72134"/>
    <w:rsid w:val="00A76195"/>
    <w:rsid w:val="00A83771"/>
    <w:rsid w:val="00A846D9"/>
    <w:rsid w:val="00A93594"/>
    <w:rsid w:val="00AA37D0"/>
    <w:rsid w:val="00AA5BDC"/>
    <w:rsid w:val="00AB2CDA"/>
    <w:rsid w:val="00AB5A72"/>
    <w:rsid w:val="00AB7E12"/>
    <w:rsid w:val="00AC0345"/>
    <w:rsid w:val="00AC20A7"/>
    <w:rsid w:val="00AD01A1"/>
    <w:rsid w:val="00AD1098"/>
    <w:rsid w:val="00AD2CE8"/>
    <w:rsid w:val="00AD42D8"/>
    <w:rsid w:val="00AD4372"/>
    <w:rsid w:val="00AD5C15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750"/>
    <w:rsid w:val="00B267AB"/>
    <w:rsid w:val="00B32478"/>
    <w:rsid w:val="00B36213"/>
    <w:rsid w:val="00B41F17"/>
    <w:rsid w:val="00B45B4B"/>
    <w:rsid w:val="00B45BAF"/>
    <w:rsid w:val="00B52BCD"/>
    <w:rsid w:val="00B53891"/>
    <w:rsid w:val="00B56AED"/>
    <w:rsid w:val="00B66A30"/>
    <w:rsid w:val="00B71BC6"/>
    <w:rsid w:val="00B73AD2"/>
    <w:rsid w:val="00B76E8C"/>
    <w:rsid w:val="00B775E7"/>
    <w:rsid w:val="00B82785"/>
    <w:rsid w:val="00B847C2"/>
    <w:rsid w:val="00B85BB7"/>
    <w:rsid w:val="00B85CF1"/>
    <w:rsid w:val="00B871ED"/>
    <w:rsid w:val="00B90F82"/>
    <w:rsid w:val="00B9179A"/>
    <w:rsid w:val="00B9186F"/>
    <w:rsid w:val="00B955D2"/>
    <w:rsid w:val="00BA3122"/>
    <w:rsid w:val="00BA6039"/>
    <w:rsid w:val="00BB0BFE"/>
    <w:rsid w:val="00BB40F9"/>
    <w:rsid w:val="00BB4BA0"/>
    <w:rsid w:val="00BB4C3E"/>
    <w:rsid w:val="00BB5731"/>
    <w:rsid w:val="00BB66B0"/>
    <w:rsid w:val="00BC281F"/>
    <w:rsid w:val="00BC5CDD"/>
    <w:rsid w:val="00BD184A"/>
    <w:rsid w:val="00BD5C25"/>
    <w:rsid w:val="00BD75B1"/>
    <w:rsid w:val="00BE07CB"/>
    <w:rsid w:val="00BE16F2"/>
    <w:rsid w:val="00BE79B6"/>
    <w:rsid w:val="00BF192E"/>
    <w:rsid w:val="00BF5175"/>
    <w:rsid w:val="00C010FC"/>
    <w:rsid w:val="00C01F9B"/>
    <w:rsid w:val="00C02DAB"/>
    <w:rsid w:val="00C07145"/>
    <w:rsid w:val="00C1221B"/>
    <w:rsid w:val="00C123AA"/>
    <w:rsid w:val="00C151BE"/>
    <w:rsid w:val="00C15C18"/>
    <w:rsid w:val="00C170C5"/>
    <w:rsid w:val="00C260C8"/>
    <w:rsid w:val="00C27247"/>
    <w:rsid w:val="00C27877"/>
    <w:rsid w:val="00C2796C"/>
    <w:rsid w:val="00C35450"/>
    <w:rsid w:val="00C37183"/>
    <w:rsid w:val="00C37FA4"/>
    <w:rsid w:val="00C45A66"/>
    <w:rsid w:val="00C516D0"/>
    <w:rsid w:val="00C57418"/>
    <w:rsid w:val="00C60FFB"/>
    <w:rsid w:val="00C620DD"/>
    <w:rsid w:val="00C71851"/>
    <w:rsid w:val="00C73045"/>
    <w:rsid w:val="00C8344D"/>
    <w:rsid w:val="00C86D64"/>
    <w:rsid w:val="00C91EFA"/>
    <w:rsid w:val="00C92175"/>
    <w:rsid w:val="00C95B72"/>
    <w:rsid w:val="00C97546"/>
    <w:rsid w:val="00CA6A32"/>
    <w:rsid w:val="00CB1692"/>
    <w:rsid w:val="00CB3A2E"/>
    <w:rsid w:val="00CB7F03"/>
    <w:rsid w:val="00CC2DB1"/>
    <w:rsid w:val="00CC64E7"/>
    <w:rsid w:val="00CC7E66"/>
    <w:rsid w:val="00CD0AB6"/>
    <w:rsid w:val="00CE0EEE"/>
    <w:rsid w:val="00CE351C"/>
    <w:rsid w:val="00CE690C"/>
    <w:rsid w:val="00CF1674"/>
    <w:rsid w:val="00CF4311"/>
    <w:rsid w:val="00CF4CAC"/>
    <w:rsid w:val="00D00283"/>
    <w:rsid w:val="00D01EE5"/>
    <w:rsid w:val="00D0319B"/>
    <w:rsid w:val="00D0504B"/>
    <w:rsid w:val="00D065F2"/>
    <w:rsid w:val="00D1269E"/>
    <w:rsid w:val="00D1355E"/>
    <w:rsid w:val="00D147A3"/>
    <w:rsid w:val="00D15DA8"/>
    <w:rsid w:val="00D225D9"/>
    <w:rsid w:val="00D32CE5"/>
    <w:rsid w:val="00D33B4B"/>
    <w:rsid w:val="00D361A5"/>
    <w:rsid w:val="00D41B72"/>
    <w:rsid w:val="00D44DE5"/>
    <w:rsid w:val="00D46327"/>
    <w:rsid w:val="00D46945"/>
    <w:rsid w:val="00D51F74"/>
    <w:rsid w:val="00D54127"/>
    <w:rsid w:val="00D54760"/>
    <w:rsid w:val="00D613F4"/>
    <w:rsid w:val="00D65EF8"/>
    <w:rsid w:val="00D730A8"/>
    <w:rsid w:val="00D7337D"/>
    <w:rsid w:val="00D751B9"/>
    <w:rsid w:val="00D8121A"/>
    <w:rsid w:val="00D8224D"/>
    <w:rsid w:val="00D863B5"/>
    <w:rsid w:val="00D918CE"/>
    <w:rsid w:val="00D91FCD"/>
    <w:rsid w:val="00D95BB2"/>
    <w:rsid w:val="00DA0EC0"/>
    <w:rsid w:val="00DA1766"/>
    <w:rsid w:val="00DA4938"/>
    <w:rsid w:val="00DA7803"/>
    <w:rsid w:val="00DB04C2"/>
    <w:rsid w:val="00DB05DA"/>
    <w:rsid w:val="00DB1438"/>
    <w:rsid w:val="00DB219C"/>
    <w:rsid w:val="00DC2B16"/>
    <w:rsid w:val="00DC4FA5"/>
    <w:rsid w:val="00DC54AC"/>
    <w:rsid w:val="00DC716F"/>
    <w:rsid w:val="00DC7EE7"/>
    <w:rsid w:val="00DD3110"/>
    <w:rsid w:val="00DD3E25"/>
    <w:rsid w:val="00DD61C4"/>
    <w:rsid w:val="00DD7890"/>
    <w:rsid w:val="00DE7004"/>
    <w:rsid w:val="00DF0B30"/>
    <w:rsid w:val="00DF1F20"/>
    <w:rsid w:val="00DF3C27"/>
    <w:rsid w:val="00DF5063"/>
    <w:rsid w:val="00E00E74"/>
    <w:rsid w:val="00E03F4C"/>
    <w:rsid w:val="00E112CF"/>
    <w:rsid w:val="00E121B2"/>
    <w:rsid w:val="00E12FAA"/>
    <w:rsid w:val="00E15830"/>
    <w:rsid w:val="00E16B81"/>
    <w:rsid w:val="00E214F9"/>
    <w:rsid w:val="00E246D7"/>
    <w:rsid w:val="00E25A9B"/>
    <w:rsid w:val="00E31678"/>
    <w:rsid w:val="00E32F17"/>
    <w:rsid w:val="00E367D7"/>
    <w:rsid w:val="00E36A76"/>
    <w:rsid w:val="00E50AA9"/>
    <w:rsid w:val="00E51308"/>
    <w:rsid w:val="00E551D9"/>
    <w:rsid w:val="00E552A6"/>
    <w:rsid w:val="00E60A38"/>
    <w:rsid w:val="00E623CE"/>
    <w:rsid w:val="00E6339F"/>
    <w:rsid w:val="00E6572F"/>
    <w:rsid w:val="00E71F33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C511E"/>
    <w:rsid w:val="00EC648A"/>
    <w:rsid w:val="00EC6C46"/>
    <w:rsid w:val="00ED0DF4"/>
    <w:rsid w:val="00ED1F00"/>
    <w:rsid w:val="00ED2A60"/>
    <w:rsid w:val="00EE102F"/>
    <w:rsid w:val="00EE30BB"/>
    <w:rsid w:val="00EF1328"/>
    <w:rsid w:val="00F054F3"/>
    <w:rsid w:val="00F05941"/>
    <w:rsid w:val="00F109F6"/>
    <w:rsid w:val="00F207E6"/>
    <w:rsid w:val="00F21BD9"/>
    <w:rsid w:val="00F23256"/>
    <w:rsid w:val="00F27540"/>
    <w:rsid w:val="00F27589"/>
    <w:rsid w:val="00F3114E"/>
    <w:rsid w:val="00F36B30"/>
    <w:rsid w:val="00F36E8B"/>
    <w:rsid w:val="00F563DB"/>
    <w:rsid w:val="00F60A7C"/>
    <w:rsid w:val="00F64076"/>
    <w:rsid w:val="00F725AE"/>
    <w:rsid w:val="00F7568E"/>
    <w:rsid w:val="00F77572"/>
    <w:rsid w:val="00F8500C"/>
    <w:rsid w:val="00F9022A"/>
    <w:rsid w:val="00F90B16"/>
    <w:rsid w:val="00F94849"/>
    <w:rsid w:val="00FA66A4"/>
    <w:rsid w:val="00FA74DD"/>
    <w:rsid w:val="00FB2433"/>
    <w:rsid w:val="00FB2E50"/>
    <w:rsid w:val="00FB51E5"/>
    <w:rsid w:val="00FB77C2"/>
    <w:rsid w:val="00FC1F79"/>
    <w:rsid w:val="00FC4956"/>
    <w:rsid w:val="00FC789D"/>
    <w:rsid w:val="00FD3AF5"/>
    <w:rsid w:val="00FD68A1"/>
    <w:rsid w:val="00FE0C00"/>
    <w:rsid w:val="00FE17A9"/>
    <w:rsid w:val="00FE1CAC"/>
    <w:rsid w:val="00FE3AB4"/>
    <w:rsid w:val="00FE5A89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villalobos\Desktop\GraficasIndicado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Comparativo</a:t>
            </a:r>
            <a:r>
              <a:rPr lang="es-MX" baseline="0"/>
              <a:t> Anual de Ventas por Meses</a:t>
            </a:r>
            <a:endParaRPr lang="es-MX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'Comparativo Anual'!$B$6</c:f>
              <c:strCache>
                <c:ptCount val="1"/>
                <c:pt idx="0">
                  <c:v>2013</c:v>
                </c:pt>
              </c:strCache>
            </c:strRef>
          </c:tx>
          <c:cat>
            <c:strRef>
              <c:f>'Comparativo Anual'!$C$5:$I$5</c:f>
              <c:strCache>
                <c:ptCount val="7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</c:strCache>
            </c:strRef>
          </c:cat>
          <c:val>
            <c:numRef>
              <c:f>'Comparativo Anual'!$C$6:$I$6</c:f>
              <c:numCache>
                <c:formatCode>_("$"* #,##0.00_);_("$"* \(#,##0.00\);_("$"* "-"??_);_(@_)</c:formatCode>
                <c:ptCount val="7"/>
                <c:pt idx="0">
                  <c:v>230000</c:v>
                </c:pt>
                <c:pt idx="1">
                  <c:v>345000</c:v>
                </c:pt>
                <c:pt idx="2">
                  <c:v>278000</c:v>
                </c:pt>
                <c:pt idx="3">
                  <c:v>301000</c:v>
                </c:pt>
                <c:pt idx="4">
                  <c:v>299000</c:v>
                </c:pt>
                <c:pt idx="5">
                  <c:v>200000</c:v>
                </c:pt>
                <c:pt idx="6">
                  <c:v>255000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'Comparativo Anual'!$B$7</c:f>
              <c:strCache>
                <c:ptCount val="1"/>
                <c:pt idx="0">
                  <c:v>2012</c:v>
                </c:pt>
              </c:strCache>
            </c:strRef>
          </c:tx>
          <c:cat>
            <c:strRef>
              <c:f>'Comparativo Anual'!$C$5:$I$5</c:f>
              <c:strCache>
                <c:ptCount val="7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  <c:pt idx="3">
                  <c:v>Abril</c:v>
                </c:pt>
                <c:pt idx="4">
                  <c:v>Mayo</c:v>
                </c:pt>
                <c:pt idx="5">
                  <c:v>Junio</c:v>
                </c:pt>
                <c:pt idx="6">
                  <c:v>Julio</c:v>
                </c:pt>
              </c:strCache>
            </c:strRef>
          </c:cat>
          <c:val>
            <c:numRef>
              <c:f>'Comparativo Anual'!$C$7:$I$7</c:f>
              <c:numCache>
                <c:formatCode>_("$"* #,##0.00_);_("$"* \(#,##0.00\);_("$"* "-"??_);_(@_)</c:formatCode>
                <c:ptCount val="7"/>
                <c:pt idx="0">
                  <c:v>228000</c:v>
                </c:pt>
                <c:pt idx="1">
                  <c:v>320000</c:v>
                </c:pt>
                <c:pt idx="2">
                  <c:v>250000</c:v>
                </c:pt>
                <c:pt idx="3">
                  <c:v>310000</c:v>
                </c:pt>
                <c:pt idx="4">
                  <c:v>313000</c:v>
                </c:pt>
                <c:pt idx="5">
                  <c:v>199000</c:v>
                </c:pt>
                <c:pt idx="6">
                  <c:v>256000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024512"/>
        <c:axId val="123026048"/>
      </c:lineChart>
      <c:catAx>
        <c:axId val="123024512"/>
        <c:scaling>
          <c:orientation val="minMax"/>
        </c:scaling>
        <c:delete val="0"/>
        <c:axPos val="b"/>
        <c:majorTickMark val="none"/>
        <c:minorTickMark val="none"/>
        <c:tickLblPos val="nextTo"/>
        <c:crossAx val="123026048"/>
        <c:crosses val="autoZero"/>
        <c:auto val="1"/>
        <c:lblAlgn val="ctr"/>
        <c:lblOffset val="100"/>
        <c:noMultiLvlLbl val="0"/>
      </c:catAx>
      <c:valAx>
        <c:axId val="123026048"/>
        <c:scaling>
          <c:orientation val="minMax"/>
        </c:scaling>
        <c:delete val="0"/>
        <c:axPos val="l"/>
        <c:majorGridlines/>
        <c:title>
          <c:overlay val="0"/>
        </c:title>
        <c:numFmt formatCode="_(&quot;$&quot;* #,##0.00_);_(&quot;$&quot;* \(#,##0.00\);_(&quot;$&quot;* &quot;-&quot;??_);_(@_)" sourceLinked="1"/>
        <c:majorTickMark val="none"/>
        <c:minorTickMark val="none"/>
        <c:tickLblPos val="nextTo"/>
        <c:crossAx val="1230245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Ventas 2013 por CEDI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'Comparativo Anual'!$C$26</c:f>
              <c:strCache>
                <c:ptCount val="1"/>
                <c:pt idx="0">
                  <c:v>Enero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Anual'!$C$27:$C$28</c:f>
              <c:numCache>
                <c:formatCode>_("$"* #,##0.00_);_("$"* \(#,##0.00\);_("$"* "-"??_);_(@_)</c:formatCode>
                <c:ptCount val="2"/>
                <c:pt idx="0">
                  <c:v>80000</c:v>
                </c:pt>
                <c:pt idx="1">
                  <c:v>150000</c:v>
                </c:pt>
              </c:numCache>
            </c:numRef>
          </c:val>
        </c:ser>
        <c:ser>
          <c:idx val="1"/>
          <c:order val="1"/>
          <c:tx>
            <c:strRef>
              <c:f>'Comparativo Anual'!$D$26</c:f>
              <c:strCache>
                <c:ptCount val="1"/>
                <c:pt idx="0">
                  <c:v>Febrero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Anual'!$D$27:$D$28</c:f>
              <c:numCache>
                <c:formatCode>_("$"* #,##0.00_);_("$"* \(#,##0.00\);_("$"* "-"??_);_(@_)</c:formatCode>
                <c:ptCount val="2"/>
                <c:pt idx="0">
                  <c:v>195000</c:v>
                </c:pt>
                <c:pt idx="1">
                  <c:v>150000</c:v>
                </c:pt>
              </c:numCache>
            </c:numRef>
          </c:val>
        </c:ser>
        <c:ser>
          <c:idx val="2"/>
          <c:order val="2"/>
          <c:tx>
            <c:strRef>
              <c:f>'Comparativo Anual'!$E$26</c:f>
              <c:strCache>
                <c:ptCount val="1"/>
                <c:pt idx="0">
                  <c:v>Marzo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Anual'!$E$27:$E$28</c:f>
              <c:numCache>
                <c:formatCode>_("$"* #,##0.00_);_("$"* \(#,##0.00\);_("$"* "-"??_);_(@_)</c:formatCode>
                <c:ptCount val="2"/>
                <c:pt idx="0">
                  <c:v>124000</c:v>
                </c:pt>
                <c:pt idx="1">
                  <c:v>154000</c:v>
                </c:pt>
              </c:numCache>
            </c:numRef>
          </c:val>
        </c:ser>
        <c:ser>
          <c:idx val="3"/>
          <c:order val="3"/>
          <c:tx>
            <c:strRef>
              <c:f>'Comparativo Anual'!$F$26</c:f>
              <c:strCache>
                <c:ptCount val="1"/>
                <c:pt idx="0">
                  <c:v>Abril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Anual'!$F$27:$F$28</c:f>
              <c:numCache>
                <c:formatCode>_("$"* #,##0.00_);_("$"* \(#,##0.00\);_("$"* "-"??_);_(@_)</c:formatCode>
                <c:ptCount val="2"/>
                <c:pt idx="0">
                  <c:v>201000</c:v>
                </c:pt>
                <c:pt idx="1">
                  <c:v>100000</c:v>
                </c:pt>
              </c:numCache>
            </c:numRef>
          </c:val>
        </c:ser>
        <c:ser>
          <c:idx val="4"/>
          <c:order val="4"/>
          <c:tx>
            <c:strRef>
              <c:f>'Comparativo Anual'!$G$26</c:f>
              <c:strCache>
                <c:ptCount val="1"/>
                <c:pt idx="0">
                  <c:v>Mayo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Anual'!$G$27:$G$28</c:f>
              <c:numCache>
                <c:formatCode>_("$"* #,##0.00_);_("$"* \(#,##0.00\);_("$"* "-"??_);_(@_)</c:formatCode>
                <c:ptCount val="2"/>
                <c:pt idx="0">
                  <c:v>189000</c:v>
                </c:pt>
                <c:pt idx="1">
                  <c:v>110000</c:v>
                </c:pt>
              </c:numCache>
            </c:numRef>
          </c:val>
        </c:ser>
        <c:ser>
          <c:idx val="5"/>
          <c:order val="5"/>
          <c:tx>
            <c:strRef>
              <c:f>'Comparativo Anual'!$H$26</c:f>
              <c:strCache>
                <c:ptCount val="1"/>
                <c:pt idx="0">
                  <c:v>Junio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Anual'!$H$27:$H$28</c:f>
              <c:numCache>
                <c:formatCode>_("$"* #,##0.00_);_("$"* \(#,##0.00\);_("$"* "-"??_);_(@_)</c:formatCode>
                <c:ptCount val="2"/>
                <c:pt idx="0">
                  <c:v>110000</c:v>
                </c:pt>
                <c:pt idx="1">
                  <c:v>90000</c:v>
                </c:pt>
              </c:numCache>
            </c:numRef>
          </c:val>
        </c:ser>
        <c:ser>
          <c:idx val="6"/>
          <c:order val="6"/>
          <c:tx>
            <c:strRef>
              <c:f>'Comparativo Anual'!$I$26</c:f>
              <c:strCache>
                <c:ptCount val="1"/>
                <c:pt idx="0">
                  <c:v>Julio</c:v>
                </c:pt>
              </c:strCache>
            </c:strRef>
          </c:tx>
          <c:invertIfNegative val="0"/>
          <c:cat>
            <c:strRef>
              <c:f>'Comparativo Anual'!$B$27:$B$28</c:f>
              <c:strCache>
                <c:ptCount val="2"/>
                <c:pt idx="0">
                  <c:v>CEDI 1</c:v>
                </c:pt>
                <c:pt idx="1">
                  <c:v>CEDI 2</c:v>
                </c:pt>
              </c:strCache>
            </c:strRef>
          </c:cat>
          <c:val>
            <c:numRef>
              <c:f>'Comparativo Anual'!$I$27:$I$28</c:f>
              <c:numCache>
                <c:formatCode>_("$"* #,##0.00_);_("$"* \(#,##0.00\);_("$"* "-"??_);_(@_)</c:formatCode>
                <c:ptCount val="2"/>
                <c:pt idx="0">
                  <c:v>185000</c:v>
                </c:pt>
                <c:pt idx="1">
                  <c:v>70000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062528"/>
        <c:axId val="123064320"/>
      </c:barChart>
      <c:catAx>
        <c:axId val="1230625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23064320"/>
        <c:crosses val="autoZero"/>
        <c:auto val="1"/>
        <c:lblAlgn val="ctr"/>
        <c:lblOffset val="100"/>
        <c:noMultiLvlLbl val="0"/>
      </c:catAx>
      <c:valAx>
        <c:axId val="123064320"/>
        <c:scaling>
          <c:orientation val="minMax"/>
        </c:scaling>
        <c:delete val="0"/>
        <c:axPos val="l"/>
        <c:majorGridlines/>
        <c:numFmt formatCode="_(&quot;$&quot;* #,##0.00_);_(&quot;$&quot;* \(#,##0.00\);_(&quot;$&quot;* &quot;-&quot;??_);_(@_)" sourceLinked="1"/>
        <c:majorTickMark val="none"/>
        <c:minorTickMark val="none"/>
        <c:tickLblPos val="nextTo"/>
        <c:crossAx val="123062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7F7AD-E017-497E-87F4-BFC04D97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1368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5265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18</cp:revision>
  <cp:lastPrinted>2008-09-11T22:09:00Z</cp:lastPrinted>
  <dcterms:created xsi:type="dcterms:W3CDTF">2013-09-03T15:25:00Z</dcterms:created>
  <dcterms:modified xsi:type="dcterms:W3CDTF">2013-09-12T13:46:00Z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