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GridTable1LightAccent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320177">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Cliente: </w:t>
            </w:r>
            <w:r w:rsidR="001867C0" w:rsidRPr="001867C0">
              <w:rPr>
                <w:rFonts w:cs="Arial"/>
                <w:bCs/>
                <w:sz w:val="20"/>
                <w:szCs w:val="20"/>
                <w:lang w:val="es-UY" w:eastAsia="ar-SA"/>
              </w:rPr>
              <w:t>La Costeña</w:t>
            </w:r>
          </w:p>
        </w:tc>
        <w:tc>
          <w:tcPr>
            <w:tcW w:w="5051" w:type="dxa"/>
            <w:gridSpan w:val="2"/>
          </w:tcPr>
          <w:p w:rsidR="002F7E26" w:rsidRPr="00BC2E14" w:rsidRDefault="002F7E26" w:rsidP="00320177">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1867C0" w:rsidRPr="001867C0">
              <w:rPr>
                <w:rFonts w:cs="Arial"/>
                <w:bCs/>
                <w:sz w:val="20"/>
                <w:szCs w:val="20"/>
                <w:lang w:val="es-UY" w:eastAsia="ar-SA"/>
              </w:rPr>
              <w:t>23-09-2015</w:t>
            </w:r>
          </w:p>
        </w:tc>
      </w:tr>
      <w:tr w:rsidR="006D33A1" w:rsidTr="00D23587">
        <w:trPr>
          <w:trHeight w:val="333"/>
        </w:trPr>
        <w:tc>
          <w:tcPr>
            <w:tcW w:w="4846" w:type="dxa"/>
          </w:tcPr>
          <w:p w:rsidR="006D33A1" w:rsidRPr="00BC2E14" w:rsidRDefault="006D33A1" w:rsidP="007B4BD5">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Lugar: </w:t>
            </w:r>
            <w:r w:rsidR="007B4BD5" w:rsidRPr="007B4BD5">
              <w:rPr>
                <w:rFonts w:cs="Arial"/>
                <w:bCs/>
                <w:sz w:val="20"/>
                <w:szCs w:val="20"/>
                <w:lang w:val="es-UY" w:eastAsia="ar-SA"/>
              </w:rPr>
              <w:t>Conferencia telefónica</w:t>
            </w:r>
          </w:p>
        </w:tc>
        <w:tc>
          <w:tcPr>
            <w:tcW w:w="2525" w:type="dxa"/>
          </w:tcPr>
          <w:p w:rsidR="006D33A1" w:rsidRPr="00BC2E14" w:rsidRDefault="006D33A1" w:rsidP="00320177">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0E361D" w:rsidRPr="000E361D">
              <w:rPr>
                <w:rFonts w:cs="Arial"/>
                <w:bCs/>
                <w:sz w:val="20"/>
                <w:szCs w:val="20"/>
                <w:lang w:val="es-UY" w:eastAsia="ar-SA"/>
              </w:rPr>
              <w:t>8:15 am</w:t>
            </w:r>
          </w:p>
        </w:tc>
        <w:tc>
          <w:tcPr>
            <w:tcW w:w="2526" w:type="dxa"/>
          </w:tcPr>
          <w:p w:rsidR="006D33A1" w:rsidRPr="00BC2E14" w:rsidRDefault="006D33A1" w:rsidP="002F7E26">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0E361D" w:rsidRPr="000E361D">
              <w:rPr>
                <w:rFonts w:cs="Arial"/>
                <w:bCs/>
                <w:sz w:val="20"/>
                <w:szCs w:val="20"/>
                <w:lang w:val="es-UY" w:eastAsia="ar-SA"/>
              </w:rPr>
              <w:t>9:25 am</w:t>
            </w:r>
          </w:p>
        </w:tc>
      </w:tr>
      <w:tr w:rsidR="000C4A2D" w:rsidTr="00D23587">
        <w:trPr>
          <w:trHeight w:val="333"/>
        </w:trPr>
        <w:tc>
          <w:tcPr>
            <w:tcW w:w="9897" w:type="dxa"/>
            <w:gridSpan w:val="3"/>
          </w:tcPr>
          <w:p w:rsidR="000C4A2D" w:rsidRPr="00BC2E14" w:rsidRDefault="000C4A2D" w:rsidP="00320177">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Propósito de la Reunión:</w:t>
            </w:r>
            <w:r w:rsidR="00BC2E14">
              <w:rPr>
                <w:rFonts w:cs="Arial"/>
                <w:b/>
                <w:bCs/>
                <w:sz w:val="20"/>
                <w:szCs w:val="20"/>
                <w:lang w:val="es-MX" w:eastAsia="ar-SA"/>
              </w:rPr>
              <w:t xml:space="preserve"> </w:t>
            </w:r>
            <w:r w:rsidR="005B0DAC" w:rsidRPr="005B0DAC">
              <w:rPr>
                <w:rFonts w:cs="Arial"/>
                <w:bCs/>
                <w:sz w:val="20"/>
                <w:szCs w:val="20"/>
                <w:lang w:val="es-MX" w:eastAsia="ar-SA"/>
              </w:rPr>
              <w:t>Plantear propuesta solución para el conflicto de asignación de más de un CEDI a clientes y rutas de grupo masivo.</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792D31" w:rsidRDefault="00792D31"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La Costeña</w:t>
            </w:r>
          </w:p>
          <w:p w:rsidR="00BC2E14" w:rsidRPr="00242D3B" w:rsidRDefault="00792D31" w:rsidP="00320177">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242D3B">
              <w:rPr>
                <w:rFonts w:cs="Arial"/>
                <w:bCs/>
                <w:sz w:val="20"/>
                <w:szCs w:val="20"/>
                <w:lang w:val="es-UY" w:eastAsia="ar-SA"/>
              </w:rPr>
              <w:t>Carlos Olivas</w:t>
            </w:r>
          </w:p>
          <w:p w:rsidR="00792D31" w:rsidRPr="00242D3B" w:rsidRDefault="00792D31" w:rsidP="00320177">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sidRPr="00242D3B">
              <w:rPr>
                <w:rFonts w:cs="Arial"/>
                <w:bCs/>
                <w:sz w:val="20"/>
                <w:szCs w:val="20"/>
                <w:lang w:val="es-UY" w:eastAsia="ar-SA"/>
              </w:rPr>
              <w:t>Ileana Lozano</w:t>
            </w:r>
          </w:p>
          <w:p w:rsidR="00792D31" w:rsidRDefault="00792D31" w:rsidP="00792D31">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Duxstar</w:t>
            </w:r>
          </w:p>
          <w:p w:rsidR="00792D31" w:rsidRPr="00242D3B" w:rsidRDefault="00792D31" w:rsidP="00792D31">
            <w:pPr>
              <w:pStyle w:val="Prrafodelista"/>
              <w:widowControl w:val="0"/>
              <w:numPr>
                <w:ilvl w:val="0"/>
                <w:numId w:val="15"/>
              </w:numPr>
              <w:tabs>
                <w:tab w:val="left" w:pos="1276"/>
              </w:tabs>
              <w:suppressAutoHyphens/>
              <w:snapToGrid w:val="0"/>
              <w:spacing w:line="240" w:lineRule="atLeast"/>
              <w:rPr>
                <w:rFonts w:cs="Arial"/>
                <w:bCs/>
                <w:sz w:val="20"/>
                <w:szCs w:val="20"/>
                <w:lang w:val="es-UY" w:eastAsia="ar-SA"/>
              </w:rPr>
            </w:pPr>
            <w:r w:rsidRPr="00242D3B">
              <w:rPr>
                <w:rFonts w:cs="Arial"/>
                <w:bCs/>
                <w:sz w:val="20"/>
                <w:szCs w:val="20"/>
                <w:lang w:val="es-UY" w:eastAsia="ar-SA"/>
              </w:rPr>
              <w:t>Paula Rojas</w:t>
            </w:r>
          </w:p>
        </w:tc>
        <w:bookmarkStart w:id="0" w:name="_GoBack"/>
        <w:bookmarkEnd w:id="0"/>
      </w:tr>
      <w:tr w:rsidR="002F7E26" w:rsidTr="00D23587">
        <w:trPr>
          <w:trHeight w:val="334"/>
        </w:trPr>
        <w:tc>
          <w:tcPr>
            <w:tcW w:w="9897" w:type="dxa"/>
            <w:gridSpan w:val="3"/>
          </w:tcPr>
          <w:p w:rsidR="002F7E26" w:rsidRPr="00B325DF" w:rsidRDefault="002F7E26" w:rsidP="002F7E26">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Ausentes: </w:t>
            </w:r>
            <w:r w:rsidR="00264DBC" w:rsidRPr="00264DBC">
              <w:rPr>
                <w:rFonts w:cs="Arial"/>
                <w:bCs/>
                <w:sz w:val="20"/>
                <w:szCs w:val="20"/>
                <w:lang w:val="es-UY" w:eastAsia="ar-SA"/>
              </w:rPr>
              <w:t>N/A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GridTable1LightAccent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5079F1" w:rsidP="00B325DF">
            <w:pPr>
              <w:jc w:val="center"/>
              <w:rPr>
                <w:sz w:val="20"/>
                <w:szCs w:val="20"/>
                <w:lang w:val="es-MX" w:eastAsia="ar-SA"/>
              </w:rPr>
            </w:pPr>
            <w:r>
              <w:rPr>
                <w:sz w:val="20"/>
                <w:szCs w:val="20"/>
                <w:lang w:val="es-MX" w:eastAsia="ar-SA"/>
              </w:rPr>
              <w:t>1</w:t>
            </w:r>
          </w:p>
        </w:tc>
        <w:tc>
          <w:tcPr>
            <w:tcW w:w="9166" w:type="dxa"/>
          </w:tcPr>
          <w:p w:rsidR="00343E76" w:rsidRPr="00343E76" w:rsidRDefault="00C04C6E" w:rsidP="00343E76">
            <w:pPr>
              <w:rPr>
                <w:b/>
                <w:color w:val="000000"/>
                <w:sz w:val="20"/>
                <w:szCs w:val="20"/>
              </w:rPr>
            </w:pPr>
            <w:r w:rsidRPr="00343E76">
              <w:rPr>
                <w:b/>
                <w:color w:val="000000"/>
                <w:sz w:val="20"/>
                <w:szCs w:val="20"/>
              </w:rPr>
              <w:t>Revisión</w:t>
            </w:r>
            <w:r w:rsidR="00343E76" w:rsidRPr="00343E76">
              <w:rPr>
                <w:b/>
                <w:color w:val="000000"/>
                <w:sz w:val="20"/>
                <w:szCs w:val="20"/>
              </w:rPr>
              <w:t xml:space="preserve"> de propuesta-</w:t>
            </w:r>
            <w:r w:rsidRPr="00343E76">
              <w:rPr>
                <w:b/>
                <w:color w:val="000000"/>
                <w:sz w:val="20"/>
                <w:szCs w:val="20"/>
              </w:rPr>
              <w:t>solución</w:t>
            </w:r>
            <w:r w:rsidR="00343E76" w:rsidRPr="00343E76">
              <w:rPr>
                <w:b/>
                <w:color w:val="000000"/>
                <w:sz w:val="20"/>
                <w:szCs w:val="20"/>
              </w:rPr>
              <w:t xml:space="preserve"> para conflicto de clientes con CEDIS múltiples</w:t>
            </w:r>
          </w:p>
          <w:p w:rsidR="00343E76" w:rsidRDefault="005079F1" w:rsidP="00343E76">
            <w:pPr>
              <w:pStyle w:val="Prrafodelista"/>
              <w:numPr>
                <w:ilvl w:val="0"/>
                <w:numId w:val="15"/>
              </w:numPr>
              <w:rPr>
                <w:color w:val="000000"/>
                <w:sz w:val="20"/>
                <w:szCs w:val="20"/>
              </w:rPr>
            </w:pPr>
            <w:r w:rsidRPr="00343E76">
              <w:rPr>
                <w:color w:val="000000"/>
                <w:sz w:val="20"/>
                <w:szCs w:val="20"/>
              </w:rPr>
              <w:t xml:space="preserve">Duxstar </w:t>
            </w:r>
            <w:r w:rsidR="00343E76" w:rsidRPr="00343E76">
              <w:rPr>
                <w:color w:val="000000"/>
                <w:sz w:val="20"/>
                <w:szCs w:val="20"/>
              </w:rPr>
              <w:t xml:space="preserve">propone </w:t>
            </w:r>
            <w:r w:rsidRPr="00343E76">
              <w:rPr>
                <w:color w:val="000000"/>
                <w:sz w:val="20"/>
                <w:szCs w:val="20"/>
              </w:rPr>
              <w:t xml:space="preserve">una </w:t>
            </w:r>
            <w:r w:rsidR="00343E76">
              <w:rPr>
                <w:color w:val="000000"/>
                <w:sz w:val="20"/>
                <w:szCs w:val="20"/>
              </w:rPr>
              <w:t xml:space="preserve">primer </w:t>
            </w:r>
            <w:r w:rsidRPr="00343E76">
              <w:rPr>
                <w:color w:val="000000"/>
                <w:sz w:val="20"/>
                <w:szCs w:val="20"/>
              </w:rPr>
              <w:t xml:space="preserve">posible solución al conflicto </w:t>
            </w:r>
            <w:r w:rsidR="00343E76" w:rsidRPr="00343E76">
              <w:rPr>
                <w:color w:val="000000"/>
                <w:sz w:val="20"/>
                <w:szCs w:val="20"/>
              </w:rPr>
              <w:t>detectado</w:t>
            </w:r>
            <w:r w:rsidRPr="00343E76">
              <w:rPr>
                <w:color w:val="000000"/>
                <w:sz w:val="20"/>
                <w:szCs w:val="20"/>
              </w:rPr>
              <w:t xml:space="preserve"> el día 22 de Sep de 2015, donde Costeña indica que los clientes de grupo masivo pueden tener asignado más de un CEDI y las rutas o vendedores no consideran asignación de CEDI, por lo que el manejo actual de filtrado de catálogos por CEDI en escritorio y filtros en reportes WEB no se podrían manejar, además de no poder filtrar tampoco los productos que maneja cada ruta mediante AlmacenProducto.</w:t>
            </w:r>
          </w:p>
          <w:p w:rsidR="005079F1" w:rsidRDefault="00343E76" w:rsidP="00343E76">
            <w:pPr>
              <w:pStyle w:val="Prrafodelista"/>
              <w:numPr>
                <w:ilvl w:val="0"/>
                <w:numId w:val="15"/>
              </w:numPr>
              <w:rPr>
                <w:color w:val="000000"/>
                <w:sz w:val="20"/>
                <w:szCs w:val="20"/>
              </w:rPr>
            </w:pPr>
            <w:r>
              <w:rPr>
                <w:color w:val="000000"/>
                <w:sz w:val="20"/>
                <w:szCs w:val="20"/>
              </w:rPr>
              <w:t>Costeña revisa el tema con su personal y se concluye que cada GrupoVendedor</w:t>
            </w:r>
            <w:r w:rsidR="00C04C6E">
              <w:rPr>
                <w:color w:val="000000"/>
                <w:sz w:val="20"/>
                <w:szCs w:val="20"/>
              </w:rPr>
              <w:t xml:space="preserve"> </w:t>
            </w:r>
            <w:r>
              <w:rPr>
                <w:color w:val="000000"/>
                <w:sz w:val="20"/>
                <w:szCs w:val="20"/>
              </w:rPr>
              <w:t xml:space="preserve">(ruta), solo puede tener asignados clientes pertenecientes a una sola Organización de Ventas, y que los Clientes de otras Organizaciones que están asignados desde IDOCS, </w:t>
            </w:r>
            <w:r w:rsidR="005F7FAC">
              <w:rPr>
                <w:color w:val="000000"/>
                <w:sz w:val="20"/>
                <w:szCs w:val="20"/>
              </w:rPr>
              <w:t>son C</w:t>
            </w:r>
            <w:r>
              <w:rPr>
                <w:color w:val="000000"/>
                <w:sz w:val="20"/>
                <w:szCs w:val="20"/>
              </w:rPr>
              <w:t>lientes</w:t>
            </w:r>
            <w:r w:rsidR="005F7FAC">
              <w:rPr>
                <w:color w:val="000000"/>
                <w:sz w:val="20"/>
                <w:szCs w:val="20"/>
              </w:rPr>
              <w:t xml:space="preserve"> C</w:t>
            </w:r>
            <w:r>
              <w:rPr>
                <w:color w:val="000000"/>
                <w:sz w:val="20"/>
                <w:szCs w:val="20"/>
              </w:rPr>
              <w:t>orporativos a los cuales no se les vende y no debería tomárseles en cuenta. Al no haber una forma de detectar dichos clientes, se acordó que Costeña alimentara una tabla temporal creada por Duxstar en eRoute, donde relacionará los Grupos de Vendedor con la</w:t>
            </w:r>
            <w:r w:rsidR="005F7FAC">
              <w:rPr>
                <w:color w:val="000000"/>
                <w:sz w:val="20"/>
                <w:szCs w:val="20"/>
              </w:rPr>
              <w:t xml:space="preserve"> </w:t>
            </w:r>
            <w:r>
              <w:rPr>
                <w:color w:val="000000"/>
                <w:sz w:val="20"/>
                <w:szCs w:val="20"/>
              </w:rPr>
              <w:t xml:space="preserve">Organización de Venta correspondiente, y de esta manera se excluirán todos aquellos clientes que no pertenezcan a dicha Organización. </w:t>
            </w:r>
          </w:p>
          <w:p w:rsidR="00343E76" w:rsidRDefault="005F7FAC" w:rsidP="008206BF">
            <w:pPr>
              <w:pStyle w:val="Prrafodelista"/>
              <w:numPr>
                <w:ilvl w:val="0"/>
                <w:numId w:val="15"/>
              </w:numPr>
              <w:rPr>
                <w:color w:val="000000"/>
                <w:sz w:val="20"/>
                <w:szCs w:val="20"/>
              </w:rPr>
            </w:pPr>
            <w:r>
              <w:rPr>
                <w:color w:val="000000"/>
                <w:sz w:val="20"/>
                <w:szCs w:val="20"/>
              </w:rPr>
              <w:t xml:space="preserve">Como segunda propuesta por parte de Duxstar, se plantea que para Grupo Masivo se tome la Organización de Ventas en sustitución al concepto de CEDI, </w:t>
            </w:r>
            <w:r w:rsidR="008206BF">
              <w:rPr>
                <w:color w:val="000000"/>
                <w:sz w:val="20"/>
                <w:szCs w:val="20"/>
              </w:rPr>
              <w:t>buscando minimizar el impacto de los cambios, para que estos solo se realicen a nivel de IDOCS y no de la funcionalidad ya existente del sistema eRoute. Se analizó por parte de Costeña las consecuencias de no manejar los CEDIS y se acepta esta segunda propuesta.</w:t>
            </w:r>
          </w:p>
          <w:p w:rsidR="008206BF" w:rsidRPr="00343E76" w:rsidRDefault="00C5432B" w:rsidP="008206BF">
            <w:pPr>
              <w:pStyle w:val="Prrafodelista"/>
              <w:numPr>
                <w:ilvl w:val="0"/>
                <w:numId w:val="15"/>
              </w:numPr>
              <w:rPr>
                <w:color w:val="000000"/>
                <w:sz w:val="20"/>
                <w:szCs w:val="20"/>
              </w:rPr>
            </w:pPr>
            <w:r>
              <w:rPr>
                <w:color w:val="000000"/>
                <w:sz w:val="20"/>
                <w:szCs w:val="20"/>
              </w:rPr>
              <w:t>Ya que no se contara con los CEDIS reales de grupo masivo, se acordó no manejar las existencias de inventario para preventa, por lo que esta parte será excluida del procesamiento de IDOCS.</w:t>
            </w:r>
          </w:p>
        </w:tc>
      </w:tr>
      <w:tr w:rsidR="00B325DF" w:rsidRPr="003A53E1" w:rsidTr="00D23587">
        <w:trPr>
          <w:trHeight w:val="238"/>
        </w:trPr>
        <w:tc>
          <w:tcPr>
            <w:tcW w:w="757" w:type="dxa"/>
          </w:tcPr>
          <w:p w:rsidR="00B325DF" w:rsidRPr="003A53E1" w:rsidRDefault="00343E76" w:rsidP="00B325DF">
            <w:pPr>
              <w:jc w:val="center"/>
              <w:rPr>
                <w:sz w:val="20"/>
                <w:szCs w:val="20"/>
                <w:lang w:val="es-MX" w:eastAsia="ar-SA"/>
              </w:rPr>
            </w:pPr>
            <w:r>
              <w:rPr>
                <w:sz w:val="20"/>
                <w:szCs w:val="20"/>
                <w:lang w:val="es-MX" w:eastAsia="ar-SA"/>
              </w:rPr>
              <w:t>2</w:t>
            </w:r>
          </w:p>
        </w:tc>
        <w:tc>
          <w:tcPr>
            <w:tcW w:w="9166" w:type="dxa"/>
          </w:tcPr>
          <w:p w:rsidR="00B325DF" w:rsidRDefault="00ED0341" w:rsidP="00BF34C4">
            <w:pPr>
              <w:rPr>
                <w:b/>
                <w:color w:val="000000"/>
                <w:sz w:val="20"/>
                <w:szCs w:val="20"/>
              </w:rPr>
            </w:pPr>
            <w:r w:rsidRPr="00ED0341">
              <w:rPr>
                <w:b/>
                <w:color w:val="000000"/>
                <w:sz w:val="20"/>
                <w:szCs w:val="20"/>
              </w:rPr>
              <w:t>Revisión de problema con la asignación de precios, promociones y descuentos para una misma clave de cliente en sucursales y corporativos.</w:t>
            </w:r>
          </w:p>
          <w:p w:rsidR="00ED0341" w:rsidRDefault="00ED0341" w:rsidP="00ED0341">
            <w:pPr>
              <w:pStyle w:val="Prrafodelista"/>
              <w:numPr>
                <w:ilvl w:val="0"/>
                <w:numId w:val="16"/>
              </w:numPr>
              <w:rPr>
                <w:color w:val="000000"/>
                <w:sz w:val="20"/>
                <w:szCs w:val="20"/>
              </w:rPr>
            </w:pPr>
            <w:r w:rsidRPr="00ED0341">
              <w:rPr>
                <w:color w:val="000000"/>
                <w:sz w:val="20"/>
                <w:szCs w:val="20"/>
              </w:rPr>
              <w:t xml:space="preserve">Se detecta </w:t>
            </w:r>
            <w:r>
              <w:rPr>
                <w:color w:val="000000"/>
                <w:sz w:val="20"/>
                <w:szCs w:val="20"/>
              </w:rPr>
              <w:t xml:space="preserve">y analiza el </w:t>
            </w:r>
            <w:r w:rsidRPr="00ED0341">
              <w:rPr>
                <w:color w:val="000000"/>
                <w:sz w:val="20"/>
                <w:szCs w:val="20"/>
              </w:rPr>
              <w:t xml:space="preserve">problema </w:t>
            </w:r>
            <w:r>
              <w:rPr>
                <w:color w:val="000000"/>
                <w:sz w:val="20"/>
                <w:szCs w:val="20"/>
              </w:rPr>
              <w:t>de</w:t>
            </w:r>
            <w:r w:rsidRPr="00ED0341">
              <w:rPr>
                <w:color w:val="000000"/>
                <w:sz w:val="20"/>
                <w:szCs w:val="20"/>
              </w:rPr>
              <w:t xml:space="preserve"> que una misma clave de cliente sea utilizada para las diferentes Organizaciones de venta y para los Clientes corporativos, ya que las asignaciones de precios, promociones y descuentos se hacen por Cliente en base a sus esquemas, y no se pueden excluir en base a la Organización debido a que el concepto no </w:t>
            </w:r>
            <w:r>
              <w:rPr>
                <w:color w:val="000000"/>
                <w:sz w:val="20"/>
                <w:szCs w:val="20"/>
              </w:rPr>
              <w:lastRenderedPageBreak/>
              <w:t>existe en eRoute.</w:t>
            </w:r>
          </w:p>
          <w:p w:rsidR="00ED0341" w:rsidRDefault="00ED0341" w:rsidP="00ED0341">
            <w:pPr>
              <w:pStyle w:val="Prrafodelista"/>
              <w:numPr>
                <w:ilvl w:val="0"/>
                <w:numId w:val="16"/>
              </w:numPr>
              <w:rPr>
                <w:color w:val="000000"/>
                <w:sz w:val="20"/>
                <w:szCs w:val="20"/>
              </w:rPr>
            </w:pPr>
            <w:r>
              <w:rPr>
                <w:color w:val="000000"/>
                <w:sz w:val="20"/>
                <w:szCs w:val="20"/>
              </w:rPr>
              <w:t>Se plantea con Costeña la propuesta de que la organización de ventas sea concatenada al KUNNR de SAP y de esta forma, tendríamos una clave de cliente eRoute distinta para cada cliente en cada Organización de ventas, lo que nos permitirá asignar por separado los precios, promociones y descuentos.</w:t>
            </w:r>
            <w:r w:rsidR="00BA1C0D">
              <w:rPr>
                <w:color w:val="000000"/>
                <w:sz w:val="20"/>
                <w:szCs w:val="20"/>
              </w:rPr>
              <w:t xml:space="preserve"> </w:t>
            </w:r>
          </w:p>
          <w:p w:rsidR="00ED0341" w:rsidRDefault="00BA1C0D" w:rsidP="00ED0341">
            <w:pPr>
              <w:pStyle w:val="Prrafodelista"/>
              <w:numPr>
                <w:ilvl w:val="0"/>
                <w:numId w:val="16"/>
              </w:numPr>
              <w:rPr>
                <w:color w:val="000000"/>
                <w:sz w:val="20"/>
                <w:szCs w:val="20"/>
              </w:rPr>
            </w:pPr>
            <w:r>
              <w:rPr>
                <w:color w:val="000000"/>
                <w:sz w:val="20"/>
                <w:szCs w:val="20"/>
              </w:rPr>
              <w:t>Se agregará en el campo Cliente.NumeroSAP de eRoute el KUNNR original de SAP, para que dicho Campo sea el enviado en la interfaz de salida de ORDERS como el Cliente.</w:t>
            </w:r>
          </w:p>
          <w:p w:rsidR="00BA1C0D" w:rsidRPr="00ED0341" w:rsidRDefault="00BA1C0D" w:rsidP="00ED0341">
            <w:pPr>
              <w:pStyle w:val="Prrafodelista"/>
              <w:numPr>
                <w:ilvl w:val="0"/>
                <w:numId w:val="16"/>
              </w:numPr>
              <w:rPr>
                <w:color w:val="000000"/>
                <w:sz w:val="20"/>
                <w:szCs w:val="20"/>
              </w:rPr>
            </w:pPr>
            <w:r>
              <w:rPr>
                <w:color w:val="000000"/>
                <w:sz w:val="20"/>
                <w:szCs w:val="20"/>
              </w:rPr>
              <w:t>La propuesta solución para este punto es aceptada por Costeña.</w:t>
            </w:r>
          </w:p>
          <w:p w:rsidR="00ED0341" w:rsidRPr="003A53E1" w:rsidRDefault="00ED0341" w:rsidP="00BF34C4">
            <w:pPr>
              <w:rPr>
                <w:color w:val="000000"/>
                <w:sz w:val="20"/>
                <w:szCs w:val="20"/>
              </w:rPr>
            </w:pPr>
          </w:p>
        </w:tc>
      </w:tr>
      <w:tr w:rsidR="007B494F" w:rsidRPr="003A53E1" w:rsidTr="00D23587">
        <w:trPr>
          <w:trHeight w:val="238"/>
        </w:trPr>
        <w:tc>
          <w:tcPr>
            <w:tcW w:w="757" w:type="dxa"/>
          </w:tcPr>
          <w:p w:rsidR="007B494F" w:rsidRPr="007B494F" w:rsidRDefault="007B494F" w:rsidP="00B325DF">
            <w:pPr>
              <w:jc w:val="center"/>
              <w:rPr>
                <w:b/>
                <w:sz w:val="20"/>
                <w:szCs w:val="20"/>
                <w:lang w:val="es-MX" w:eastAsia="ar-SA"/>
              </w:rPr>
            </w:pPr>
            <w:r w:rsidRPr="007B494F">
              <w:rPr>
                <w:b/>
                <w:sz w:val="20"/>
                <w:szCs w:val="20"/>
                <w:lang w:val="es-MX" w:eastAsia="ar-SA"/>
              </w:rPr>
              <w:lastRenderedPageBreak/>
              <w:t>3</w:t>
            </w:r>
          </w:p>
        </w:tc>
        <w:tc>
          <w:tcPr>
            <w:tcW w:w="9166" w:type="dxa"/>
          </w:tcPr>
          <w:p w:rsidR="007B494F" w:rsidRDefault="007B494F" w:rsidP="007B494F">
            <w:pPr>
              <w:rPr>
                <w:b/>
                <w:color w:val="000000"/>
                <w:sz w:val="20"/>
                <w:szCs w:val="20"/>
              </w:rPr>
            </w:pPr>
            <w:r>
              <w:rPr>
                <w:b/>
                <w:color w:val="000000"/>
                <w:sz w:val="20"/>
                <w:szCs w:val="20"/>
              </w:rPr>
              <w:t>Revisión de Casos de clientes con más de un CEDI presentados en los IDOCS</w:t>
            </w:r>
          </w:p>
          <w:p w:rsidR="007B494F" w:rsidRPr="00063A35" w:rsidRDefault="007B494F" w:rsidP="007B494F">
            <w:pPr>
              <w:pStyle w:val="Prrafodelista"/>
              <w:numPr>
                <w:ilvl w:val="0"/>
                <w:numId w:val="17"/>
              </w:numPr>
              <w:rPr>
                <w:color w:val="000000"/>
                <w:sz w:val="20"/>
                <w:szCs w:val="20"/>
              </w:rPr>
            </w:pPr>
            <w:r w:rsidRPr="00063A35">
              <w:rPr>
                <w:color w:val="000000"/>
                <w:sz w:val="20"/>
                <w:szCs w:val="20"/>
              </w:rPr>
              <w:t>Para agilizar la revisión</w:t>
            </w:r>
            <w:r w:rsidR="00063A35" w:rsidRPr="00063A35">
              <w:rPr>
                <w:color w:val="000000"/>
                <w:sz w:val="20"/>
                <w:szCs w:val="20"/>
              </w:rPr>
              <w:t xml:space="preserve"> de los casos reportados por Dusxtar, se proporciona a Costeña claves de clientes que se encuentran en la situación de </w:t>
            </w:r>
            <w:r w:rsidR="00063A35">
              <w:rPr>
                <w:color w:val="000000"/>
                <w:sz w:val="20"/>
                <w:szCs w:val="20"/>
              </w:rPr>
              <w:t xml:space="preserve">tener </w:t>
            </w:r>
            <w:r w:rsidR="00063A35" w:rsidRPr="00063A35">
              <w:rPr>
                <w:color w:val="000000"/>
                <w:sz w:val="20"/>
                <w:szCs w:val="20"/>
              </w:rPr>
              <w:t>más de un CEDI asignado. Como resultado de esta revisión se encuentra que los IDOCS no se están filtrando con las rutas de masivo que realmente se desea manejar en una primera instancia, además de que se está arrojando en el IDOC información que esta como inactiva o bloqueada en SAP.</w:t>
            </w:r>
          </w:p>
        </w:tc>
      </w:tr>
      <w:tr w:rsidR="007B494F" w:rsidRPr="003A53E1" w:rsidTr="00D23587">
        <w:trPr>
          <w:trHeight w:val="238"/>
        </w:trPr>
        <w:tc>
          <w:tcPr>
            <w:tcW w:w="757" w:type="dxa"/>
          </w:tcPr>
          <w:p w:rsidR="007B494F" w:rsidRDefault="007B494F" w:rsidP="00063A35">
            <w:pPr>
              <w:rPr>
                <w:sz w:val="20"/>
                <w:szCs w:val="20"/>
                <w:lang w:val="es-MX" w:eastAsia="ar-SA"/>
              </w:rPr>
            </w:pPr>
          </w:p>
        </w:tc>
        <w:tc>
          <w:tcPr>
            <w:tcW w:w="9166" w:type="dxa"/>
          </w:tcPr>
          <w:p w:rsidR="007B494F" w:rsidRDefault="007B494F" w:rsidP="007B494F">
            <w:pPr>
              <w:rPr>
                <w:b/>
                <w:color w:val="000000"/>
                <w:sz w:val="20"/>
                <w:szCs w:val="20"/>
              </w:rPr>
            </w:pP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2F7E26" w:rsidRPr="00AD1B62"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Compromisos</w:t>
      </w:r>
    </w:p>
    <w:p w:rsidR="002F7E26" w:rsidRDefault="002F7E26" w:rsidP="002F7E26">
      <w:pPr>
        <w:rPr>
          <w:rFonts w:cs="Arial"/>
          <w:b/>
          <w:bCs/>
        </w:rPr>
      </w:pPr>
    </w:p>
    <w:tbl>
      <w:tblPr>
        <w:tblStyle w:val="GridTable1LightAccent5"/>
        <w:tblW w:w="0" w:type="auto"/>
        <w:tblLayout w:type="fixed"/>
        <w:tblLook w:val="0000" w:firstRow="0" w:lastRow="0" w:firstColumn="0" w:lastColumn="0" w:noHBand="0" w:noVBand="0"/>
      </w:tblPr>
      <w:tblGrid>
        <w:gridCol w:w="757"/>
        <w:gridCol w:w="5480"/>
        <w:gridCol w:w="1526"/>
        <w:gridCol w:w="2126"/>
      </w:tblGrid>
      <w:tr w:rsidR="00D34D19" w:rsidRPr="00D34D19" w:rsidTr="00D34D19">
        <w:trPr>
          <w:trHeight w:val="365"/>
        </w:trPr>
        <w:tc>
          <w:tcPr>
            <w:tcW w:w="757"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5480" w:type="dxa"/>
            <w:shd w:val="clear" w:color="auto" w:fill="365F91" w:themeFill="accent1" w:themeFillShade="BF"/>
          </w:tcPr>
          <w:p w:rsidR="002F7E26" w:rsidRPr="00D34D19" w:rsidRDefault="002F7E26" w:rsidP="0056249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w:t>
            </w:r>
          </w:p>
        </w:tc>
        <w:tc>
          <w:tcPr>
            <w:tcW w:w="15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Responsable</w:t>
            </w:r>
          </w:p>
        </w:tc>
        <w:tc>
          <w:tcPr>
            <w:tcW w:w="21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1</w:t>
            </w:r>
          </w:p>
        </w:tc>
        <w:tc>
          <w:tcPr>
            <w:tcW w:w="5480" w:type="dxa"/>
          </w:tcPr>
          <w:p w:rsidR="00064920" w:rsidRPr="003A53E1" w:rsidRDefault="00643F55" w:rsidP="0056249F">
            <w:pPr>
              <w:jc w:val="both"/>
              <w:rPr>
                <w:color w:val="000000"/>
                <w:sz w:val="20"/>
                <w:szCs w:val="20"/>
              </w:rPr>
            </w:pPr>
            <w:r>
              <w:rPr>
                <w:color w:val="000000"/>
                <w:sz w:val="20"/>
                <w:szCs w:val="20"/>
              </w:rPr>
              <w:t>Duxstar enviará la estimación correspondiente a los cambios aceptados en la presente conferencia.</w:t>
            </w:r>
          </w:p>
        </w:tc>
        <w:tc>
          <w:tcPr>
            <w:tcW w:w="1526" w:type="dxa"/>
          </w:tcPr>
          <w:p w:rsidR="002F7E26" w:rsidRPr="003A53E1" w:rsidRDefault="002B05AB" w:rsidP="00317A9E">
            <w:pPr>
              <w:rPr>
                <w:sz w:val="20"/>
                <w:szCs w:val="20"/>
              </w:rPr>
            </w:pPr>
            <w:r>
              <w:rPr>
                <w:sz w:val="20"/>
                <w:szCs w:val="20"/>
              </w:rPr>
              <w:t>Paula Rojas</w:t>
            </w:r>
          </w:p>
        </w:tc>
        <w:tc>
          <w:tcPr>
            <w:tcW w:w="2126" w:type="dxa"/>
          </w:tcPr>
          <w:p w:rsidR="002F7E26" w:rsidRPr="003A53E1" w:rsidRDefault="00643F55" w:rsidP="00317A9E">
            <w:pPr>
              <w:rPr>
                <w:sz w:val="20"/>
                <w:szCs w:val="20"/>
                <w:lang w:val="es-UY"/>
              </w:rPr>
            </w:pPr>
            <w:r>
              <w:rPr>
                <w:sz w:val="20"/>
                <w:szCs w:val="20"/>
                <w:lang w:val="es-UY"/>
              </w:rPr>
              <w:t>A la brevedad</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2</w:t>
            </w:r>
          </w:p>
        </w:tc>
        <w:tc>
          <w:tcPr>
            <w:tcW w:w="5480" w:type="dxa"/>
          </w:tcPr>
          <w:p w:rsidR="002F7E26" w:rsidRPr="003A53E1" w:rsidRDefault="004669DD" w:rsidP="0056249F">
            <w:pPr>
              <w:jc w:val="both"/>
              <w:rPr>
                <w:color w:val="000000"/>
                <w:sz w:val="20"/>
                <w:szCs w:val="20"/>
              </w:rPr>
            </w:pPr>
            <w:r>
              <w:rPr>
                <w:color w:val="000000"/>
                <w:sz w:val="20"/>
                <w:szCs w:val="20"/>
              </w:rPr>
              <w:t>Costeña gestionará la pronta aceptación de la estimación y revisará a detalle los cambios acordados para agilizar los desarrollos.</w:t>
            </w:r>
          </w:p>
        </w:tc>
        <w:tc>
          <w:tcPr>
            <w:tcW w:w="1526" w:type="dxa"/>
          </w:tcPr>
          <w:p w:rsidR="002F7E26" w:rsidRPr="003A53E1" w:rsidRDefault="004669DD" w:rsidP="00317A9E">
            <w:pPr>
              <w:rPr>
                <w:sz w:val="20"/>
                <w:szCs w:val="20"/>
              </w:rPr>
            </w:pPr>
            <w:r>
              <w:rPr>
                <w:sz w:val="20"/>
                <w:szCs w:val="20"/>
              </w:rPr>
              <w:t>Carlos Olivas</w:t>
            </w:r>
          </w:p>
        </w:tc>
        <w:tc>
          <w:tcPr>
            <w:tcW w:w="2126" w:type="dxa"/>
          </w:tcPr>
          <w:p w:rsidR="002F7E26" w:rsidRPr="003A53E1" w:rsidRDefault="004669DD" w:rsidP="00317A9E">
            <w:pPr>
              <w:rPr>
                <w:sz w:val="20"/>
                <w:szCs w:val="20"/>
                <w:lang w:val="es-UY"/>
              </w:rPr>
            </w:pPr>
            <w:r>
              <w:rPr>
                <w:sz w:val="20"/>
                <w:szCs w:val="20"/>
                <w:lang w:val="es-UY"/>
              </w:rPr>
              <w:t>A la brevedad</w:t>
            </w:r>
          </w:p>
        </w:tc>
      </w:tr>
      <w:tr w:rsidR="007B494F" w:rsidRPr="003A53E1" w:rsidTr="00D23587">
        <w:trPr>
          <w:trHeight w:val="238"/>
        </w:trPr>
        <w:tc>
          <w:tcPr>
            <w:tcW w:w="757" w:type="dxa"/>
          </w:tcPr>
          <w:p w:rsidR="007B494F" w:rsidRPr="003A53E1" w:rsidRDefault="00063A35" w:rsidP="00B325DF">
            <w:pPr>
              <w:jc w:val="center"/>
              <w:rPr>
                <w:sz w:val="20"/>
                <w:szCs w:val="20"/>
                <w:lang w:val="es-MX" w:eastAsia="ar-SA"/>
              </w:rPr>
            </w:pPr>
            <w:r>
              <w:rPr>
                <w:sz w:val="20"/>
                <w:szCs w:val="20"/>
                <w:lang w:val="es-MX" w:eastAsia="ar-SA"/>
              </w:rPr>
              <w:t>3</w:t>
            </w:r>
          </w:p>
        </w:tc>
        <w:tc>
          <w:tcPr>
            <w:tcW w:w="5480" w:type="dxa"/>
          </w:tcPr>
          <w:p w:rsidR="007B494F" w:rsidRDefault="00063A35" w:rsidP="0056249F">
            <w:pPr>
              <w:jc w:val="both"/>
              <w:rPr>
                <w:color w:val="000000"/>
                <w:sz w:val="20"/>
                <w:szCs w:val="20"/>
              </w:rPr>
            </w:pPr>
            <w:r>
              <w:rPr>
                <w:color w:val="000000"/>
                <w:sz w:val="20"/>
                <w:szCs w:val="20"/>
              </w:rPr>
              <w:t>Costeña proporcionará a Duxstar un juego de IDOCS con nuevos filtros, para que las asignaciones a CEDIS que están inhabilitadas o bloqueadas en SAP no aparezcan, además de filtrar las rutas y clientes para que solo sean aquellas que se manejaran en la etapa inicial del proyecto.</w:t>
            </w:r>
          </w:p>
        </w:tc>
        <w:tc>
          <w:tcPr>
            <w:tcW w:w="1526" w:type="dxa"/>
          </w:tcPr>
          <w:p w:rsidR="007B494F" w:rsidRDefault="007905E4" w:rsidP="00317A9E">
            <w:pPr>
              <w:rPr>
                <w:sz w:val="20"/>
                <w:szCs w:val="20"/>
              </w:rPr>
            </w:pPr>
            <w:r>
              <w:rPr>
                <w:sz w:val="20"/>
                <w:szCs w:val="20"/>
              </w:rPr>
              <w:t>Carlos Olivas</w:t>
            </w:r>
          </w:p>
        </w:tc>
        <w:tc>
          <w:tcPr>
            <w:tcW w:w="2126" w:type="dxa"/>
          </w:tcPr>
          <w:p w:rsidR="007B494F" w:rsidRDefault="007905E4" w:rsidP="00317A9E">
            <w:pPr>
              <w:rPr>
                <w:sz w:val="20"/>
                <w:szCs w:val="20"/>
                <w:lang w:val="es-UY"/>
              </w:rPr>
            </w:pPr>
            <w:r>
              <w:rPr>
                <w:sz w:val="20"/>
                <w:szCs w:val="20"/>
                <w:lang w:val="es-UY"/>
              </w:rPr>
              <w:t>A la brevedad</w:t>
            </w:r>
          </w:p>
        </w:tc>
      </w:tr>
    </w:tbl>
    <w:p w:rsidR="002F7E26" w:rsidRDefault="002F7E26" w:rsidP="002F7E26">
      <w:pPr>
        <w:rPr>
          <w:rFonts w:cs="Arial"/>
          <w:b/>
          <w:sz w:val="20"/>
          <w:szCs w:val="20"/>
        </w:rPr>
      </w:pPr>
    </w:p>
    <w:p w:rsidR="00D34D19" w:rsidRDefault="00D34D19" w:rsidP="002F7E26">
      <w:pPr>
        <w:rPr>
          <w:rFonts w:cs="Arial"/>
          <w:b/>
          <w:sz w:val="20"/>
          <w:szCs w:val="20"/>
        </w:rPr>
      </w:pPr>
    </w:p>
    <w:tbl>
      <w:tblPr>
        <w:tblStyle w:val="GridTable1LightAccent5"/>
        <w:tblW w:w="9923" w:type="dxa"/>
        <w:tblLayout w:type="fixed"/>
        <w:tblLook w:val="0000" w:firstRow="0" w:lastRow="0" w:firstColumn="0" w:lastColumn="0" w:noHBand="0" w:noVBand="0"/>
      </w:tblPr>
      <w:tblGrid>
        <w:gridCol w:w="6237"/>
        <w:gridCol w:w="1526"/>
        <w:gridCol w:w="2160"/>
      </w:tblGrid>
      <w:tr w:rsidR="004D25E2" w:rsidTr="00D34D19">
        <w:trPr>
          <w:trHeight w:val="397"/>
        </w:trPr>
        <w:tc>
          <w:tcPr>
            <w:tcW w:w="6237"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 Pendientes</w:t>
            </w:r>
          </w:p>
        </w:tc>
        <w:tc>
          <w:tcPr>
            <w:tcW w:w="1526"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 Inicial</w:t>
            </w:r>
          </w:p>
        </w:tc>
        <w:tc>
          <w:tcPr>
            <w:tcW w:w="2160" w:type="dxa"/>
            <w:shd w:val="clear" w:color="auto" w:fill="365F91" w:themeFill="accent1" w:themeFillShade="BF"/>
          </w:tcPr>
          <w:p w:rsidR="004D25E2" w:rsidRPr="00D34D19" w:rsidRDefault="004D25E2"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Fecha Compromiso</w:t>
            </w:r>
          </w:p>
        </w:tc>
      </w:tr>
      <w:tr w:rsidR="004D25E2" w:rsidTr="00D23587">
        <w:trPr>
          <w:trHeight w:val="259"/>
        </w:trPr>
        <w:tc>
          <w:tcPr>
            <w:tcW w:w="6237" w:type="dxa"/>
          </w:tcPr>
          <w:p w:rsidR="004D25E2" w:rsidRPr="003A53E1" w:rsidRDefault="004D25E2" w:rsidP="00BF34C4">
            <w:pPr>
              <w:rPr>
                <w:sz w:val="20"/>
                <w:szCs w:val="20"/>
              </w:rPr>
            </w:pPr>
          </w:p>
        </w:tc>
        <w:tc>
          <w:tcPr>
            <w:tcW w:w="1526" w:type="dxa"/>
          </w:tcPr>
          <w:p w:rsidR="004D25E2" w:rsidRPr="003A53E1" w:rsidRDefault="004D25E2" w:rsidP="00BF34C4">
            <w:pPr>
              <w:rPr>
                <w:sz w:val="20"/>
                <w:szCs w:val="20"/>
              </w:rPr>
            </w:pPr>
          </w:p>
        </w:tc>
        <w:tc>
          <w:tcPr>
            <w:tcW w:w="2160" w:type="dxa"/>
          </w:tcPr>
          <w:p w:rsidR="004D25E2" w:rsidRPr="003A53E1" w:rsidRDefault="004D25E2" w:rsidP="00BF34C4">
            <w:pPr>
              <w:rPr>
                <w:sz w:val="20"/>
                <w:szCs w:val="20"/>
              </w:rPr>
            </w:pPr>
          </w:p>
        </w:tc>
      </w:tr>
      <w:tr w:rsidR="004D25E2" w:rsidTr="00D23587">
        <w:trPr>
          <w:trHeight w:val="259"/>
        </w:trPr>
        <w:tc>
          <w:tcPr>
            <w:tcW w:w="6237" w:type="dxa"/>
          </w:tcPr>
          <w:p w:rsidR="004D25E2" w:rsidRPr="003A53E1" w:rsidRDefault="004D25E2" w:rsidP="00BF34C4">
            <w:pPr>
              <w:rPr>
                <w:sz w:val="20"/>
                <w:szCs w:val="20"/>
              </w:rPr>
            </w:pPr>
          </w:p>
        </w:tc>
        <w:tc>
          <w:tcPr>
            <w:tcW w:w="1526" w:type="dxa"/>
          </w:tcPr>
          <w:p w:rsidR="004D25E2" w:rsidRPr="003A53E1" w:rsidRDefault="004D25E2" w:rsidP="00BF34C4">
            <w:pPr>
              <w:rPr>
                <w:sz w:val="20"/>
                <w:szCs w:val="20"/>
              </w:rPr>
            </w:pPr>
          </w:p>
        </w:tc>
        <w:tc>
          <w:tcPr>
            <w:tcW w:w="2160" w:type="dxa"/>
          </w:tcPr>
          <w:p w:rsidR="004D25E2" w:rsidRPr="003A53E1" w:rsidRDefault="004D25E2" w:rsidP="00BF34C4">
            <w:pPr>
              <w:rPr>
                <w:sz w:val="20"/>
                <w:szCs w:val="20"/>
              </w:rPr>
            </w:pPr>
          </w:p>
        </w:tc>
      </w:tr>
    </w:tbl>
    <w:p w:rsidR="004D25E2" w:rsidRDefault="004D25E2" w:rsidP="002F7E26">
      <w:pPr>
        <w:rPr>
          <w:rFonts w:cs="Arial"/>
          <w:b/>
          <w:sz w:val="20"/>
          <w:szCs w:val="20"/>
        </w:rPr>
      </w:pPr>
    </w:p>
    <w:p w:rsidR="004D25E2" w:rsidRPr="003A53E1" w:rsidRDefault="004D25E2" w:rsidP="002F7E26">
      <w:pPr>
        <w:rPr>
          <w:rFonts w:cs="Arial"/>
          <w:b/>
          <w:sz w:val="20"/>
          <w:szCs w:val="20"/>
        </w:rPr>
      </w:pPr>
    </w:p>
    <w:p w:rsidR="002F7E26" w:rsidRPr="00AD1B62"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tbl>
      <w:tblPr>
        <w:tblStyle w:val="GridTable1LightAccent5"/>
        <w:tblW w:w="0" w:type="auto"/>
        <w:tblLayout w:type="fixed"/>
        <w:tblLook w:val="0000" w:firstRow="0" w:lastRow="0" w:firstColumn="0" w:lastColumn="0" w:noHBand="0" w:noVBand="0"/>
      </w:tblPr>
      <w:tblGrid>
        <w:gridCol w:w="6237"/>
        <w:gridCol w:w="3686"/>
      </w:tblGrid>
      <w:tr w:rsidR="000C4A2D" w:rsidTr="00D34D19">
        <w:trPr>
          <w:trHeight w:val="381"/>
        </w:trPr>
        <w:tc>
          <w:tcPr>
            <w:tcW w:w="62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36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0C4A2D" w:rsidTr="00D23587">
        <w:trPr>
          <w:trHeight w:val="248"/>
        </w:trPr>
        <w:tc>
          <w:tcPr>
            <w:tcW w:w="6237" w:type="dxa"/>
          </w:tcPr>
          <w:p w:rsidR="000C4A2D" w:rsidRPr="003A53E1" w:rsidRDefault="00B27EB3" w:rsidP="003A53E1">
            <w:pPr>
              <w:rPr>
                <w:sz w:val="20"/>
                <w:szCs w:val="20"/>
              </w:rPr>
            </w:pPr>
            <w:r>
              <w:rPr>
                <w:sz w:val="20"/>
                <w:szCs w:val="20"/>
              </w:rPr>
              <w:t>Carlos Olivas</w:t>
            </w:r>
          </w:p>
        </w:tc>
        <w:tc>
          <w:tcPr>
            <w:tcW w:w="3686" w:type="dxa"/>
          </w:tcPr>
          <w:p w:rsidR="000C4A2D" w:rsidRPr="003A53E1" w:rsidRDefault="000C4A2D" w:rsidP="003A53E1">
            <w:pPr>
              <w:rPr>
                <w:sz w:val="20"/>
                <w:szCs w:val="20"/>
              </w:rPr>
            </w:pPr>
          </w:p>
        </w:tc>
      </w:tr>
      <w:tr w:rsidR="000C4A2D" w:rsidTr="00D23587">
        <w:trPr>
          <w:trHeight w:val="248"/>
        </w:trPr>
        <w:tc>
          <w:tcPr>
            <w:tcW w:w="6237" w:type="dxa"/>
          </w:tcPr>
          <w:p w:rsidR="00B27EB3" w:rsidRPr="003A53E1" w:rsidRDefault="00B27EB3" w:rsidP="003A53E1">
            <w:pPr>
              <w:rPr>
                <w:sz w:val="20"/>
                <w:szCs w:val="20"/>
              </w:rPr>
            </w:pPr>
            <w:r>
              <w:rPr>
                <w:sz w:val="20"/>
                <w:szCs w:val="20"/>
              </w:rPr>
              <w:t>Ileana Lozano</w:t>
            </w:r>
          </w:p>
        </w:tc>
        <w:tc>
          <w:tcPr>
            <w:tcW w:w="3686" w:type="dxa"/>
          </w:tcPr>
          <w:p w:rsidR="000C4A2D" w:rsidRPr="003A53E1" w:rsidRDefault="000C4A2D" w:rsidP="003A53E1">
            <w:pPr>
              <w:rPr>
                <w:sz w:val="20"/>
                <w:szCs w:val="20"/>
              </w:rPr>
            </w:pPr>
          </w:p>
        </w:tc>
      </w:tr>
      <w:tr w:rsidR="00B27EB3" w:rsidTr="00D23587">
        <w:trPr>
          <w:trHeight w:val="248"/>
        </w:trPr>
        <w:tc>
          <w:tcPr>
            <w:tcW w:w="6237" w:type="dxa"/>
          </w:tcPr>
          <w:p w:rsidR="00B27EB3" w:rsidRDefault="00B27EB3" w:rsidP="003A53E1">
            <w:pPr>
              <w:rPr>
                <w:sz w:val="20"/>
                <w:szCs w:val="20"/>
              </w:rPr>
            </w:pPr>
            <w:r>
              <w:rPr>
                <w:sz w:val="20"/>
                <w:szCs w:val="20"/>
              </w:rPr>
              <w:t>Paula Rojas</w:t>
            </w:r>
          </w:p>
        </w:tc>
        <w:tc>
          <w:tcPr>
            <w:tcW w:w="3686" w:type="dxa"/>
          </w:tcPr>
          <w:p w:rsidR="00B27EB3" w:rsidRPr="003A53E1" w:rsidRDefault="00B27EB3" w:rsidP="003A53E1">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2B05AB" w:rsidRPr="002B05AB">
        <w:rPr>
          <w:b w:val="0"/>
          <w:sz w:val="20"/>
          <w:szCs w:val="20"/>
        </w:rPr>
        <w:t>Paula Rojas</w:t>
      </w:r>
      <w:r w:rsidR="002B05AB">
        <w:rPr>
          <w:b w:val="0"/>
          <w:sz w:val="20"/>
          <w:szCs w:val="20"/>
        </w:rPr>
        <w:t>.</w:t>
      </w:r>
    </w:p>
    <w:sectPr w:rsidR="00E04C0F" w:rsidRPr="00D34D19" w:rsidSect="00E04C0F">
      <w:footerReference w:type="even" r:id="rId9"/>
      <w:footerReference w:type="default" r:id="rId10"/>
      <w:headerReference w:type="first" r:id="rId11"/>
      <w:footerReference w:type="first" r:id="rId12"/>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A2B" w:rsidRDefault="00345A2B" w:rsidP="00514F06">
      <w:pPr>
        <w:pStyle w:val="Ttulo1"/>
      </w:pPr>
      <w:r>
        <w:separator/>
      </w:r>
    </w:p>
  </w:endnote>
  <w:endnote w:type="continuationSeparator" w:id="0">
    <w:p w:rsidR="00345A2B" w:rsidRDefault="00345A2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Amesol Group</w:t>
          </w:r>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B645CD">
            <w:rPr>
              <w:rFonts w:ascii="Arial" w:hAnsi="Arial" w:cs="Arial"/>
              <w:noProof/>
            </w:rPr>
            <w:t>1</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B05AB">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B05AB">
            <w:rPr>
              <w:rFonts w:ascii="Arial" w:hAnsi="Arial" w:cs="Arial"/>
              <w:noProof/>
            </w:rPr>
            <w:t>2</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A2B" w:rsidRDefault="00345A2B" w:rsidP="00514F06">
      <w:pPr>
        <w:pStyle w:val="Ttulo1"/>
      </w:pPr>
      <w:r>
        <w:separator/>
      </w:r>
    </w:p>
  </w:footnote>
  <w:footnote w:type="continuationSeparator" w:id="0">
    <w:p w:rsidR="00345A2B" w:rsidRDefault="00345A2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CE0B54" w:rsidP="00D23587">
    <w:pPr>
      <w:pStyle w:val="Encabezado"/>
      <w:jc w:val="right"/>
      <w:rPr>
        <w:color w:val="0070C0"/>
      </w:rPr>
    </w:pPr>
    <w:r>
      <w:rPr>
        <w:color w:val="0070C0"/>
      </w:rPr>
      <w:t>23-09-2015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34333DD7"/>
    <w:multiLevelType w:val="hybridMultilevel"/>
    <w:tmpl w:val="3950F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D7F0908"/>
    <w:multiLevelType w:val="hybridMultilevel"/>
    <w:tmpl w:val="2B5CC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8C64AE4"/>
    <w:multiLevelType w:val="hybridMultilevel"/>
    <w:tmpl w:val="B3EE5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788D15B7"/>
    <w:multiLevelType w:val="hybridMultilevel"/>
    <w:tmpl w:val="941A3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0"/>
  </w:num>
  <w:num w:numId="4">
    <w:abstractNumId w:val="10"/>
  </w:num>
  <w:num w:numId="5">
    <w:abstractNumId w:val="10"/>
  </w:num>
  <w:num w:numId="6">
    <w:abstractNumId w:val="10"/>
  </w:num>
  <w:num w:numId="7">
    <w:abstractNumId w:val="0"/>
  </w:num>
  <w:num w:numId="8">
    <w:abstractNumId w:val="6"/>
  </w:num>
  <w:num w:numId="9">
    <w:abstractNumId w:val="5"/>
  </w:num>
  <w:num w:numId="10">
    <w:abstractNumId w:val="9"/>
  </w:num>
  <w:num w:numId="11">
    <w:abstractNumId w:val="2"/>
  </w:num>
  <w:num w:numId="12">
    <w:abstractNumId w:val="8"/>
  </w:num>
  <w:num w:numId="13">
    <w:abstractNumId w:val="1"/>
  </w:num>
  <w:num w:numId="14">
    <w:abstractNumId w:val="12"/>
  </w:num>
  <w:num w:numId="15">
    <w:abstractNumId w:val="11"/>
  </w:num>
  <w:num w:numId="16">
    <w:abstractNumId w:val="4"/>
  </w:num>
  <w:num w:numId="1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CD"/>
    <w:rsid w:val="00006873"/>
    <w:rsid w:val="00010BAE"/>
    <w:rsid w:val="00031CF8"/>
    <w:rsid w:val="000330BE"/>
    <w:rsid w:val="00037466"/>
    <w:rsid w:val="0005001B"/>
    <w:rsid w:val="00055766"/>
    <w:rsid w:val="00055E66"/>
    <w:rsid w:val="00063A35"/>
    <w:rsid w:val="00064920"/>
    <w:rsid w:val="000671A5"/>
    <w:rsid w:val="00074319"/>
    <w:rsid w:val="00087962"/>
    <w:rsid w:val="00091857"/>
    <w:rsid w:val="000A5CDA"/>
    <w:rsid w:val="000A77DF"/>
    <w:rsid w:val="000B523A"/>
    <w:rsid w:val="000B5641"/>
    <w:rsid w:val="000C45BD"/>
    <w:rsid w:val="000C4A2D"/>
    <w:rsid w:val="000D58E6"/>
    <w:rsid w:val="000D5B6A"/>
    <w:rsid w:val="000E361D"/>
    <w:rsid w:val="000F31CD"/>
    <w:rsid w:val="001017BB"/>
    <w:rsid w:val="00103CD5"/>
    <w:rsid w:val="001117A7"/>
    <w:rsid w:val="00125E35"/>
    <w:rsid w:val="0013530E"/>
    <w:rsid w:val="001416D3"/>
    <w:rsid w:val="00142850"/>
    <w:rsid w:val="001436DC"/>
    <w:rsid w:val="00147CB5"/>
    <w:rsid w:val="00152C0A"/>
    <w:rsid w:val="00155B9F"/>
    <w:rsid w:val="0016291D"/>
    <w:rsid w:val="00166BA6"/>
    <w:rsid w:val="0017341C"/>
    <w:rsid w:val="0017686C"/>
    <w:rsid w:val="00177278"/>
    <w:rsid w:val="00183F8B"/>
    <w:rsid w:val="00184046"/>
    <w:rsid w:val="001867C0"/>
    <w:rsid w:val="00190BD2"/>
    <w:rsid w:val="001A60C2"/>
    <w:rsid w:val="001B09A2"/>
    <w:rsid w:val="001B100F"/>
    <w:rsid w:val="001B241B"/>
    <w:rsid w:val="001B254E"/>
    <w:rsid w:val="001C7F44"/>
    <w:rsid w:val="001D115D"/>
    <w:rsid w:val="001D1534"/>
    <w:rsid w:val="001D4B3B"/>
    <w:rsid w:val="001D4DE2"/>
    <w:rsid w:val="001D6F21"/>
    <w:rsid w:val="001D6F99"/>
    <w:rsid w:val="001E20AD"/>
    <w:rsid w:val="001F34A1"/>
    <w:rsid w:val="001F395B"/>
    <w:rsid w:val="0020099B"/>
    <w:rsid w:val="00203741"/>
    <w:rsid w:val="002065C2"/>
    <w:rsid w:val="002177DF"/>
    <w:rsid w:val="00220011"/>
    <w:rsid w:val="00225DC0"/>
    <w:rsid w:val="0022637D"/>
    <w:rsid w:val="00227281"/>
    <w:rsid w:val="002311A2"/>
    <w:rsid w:val="002423AA"/>
    <w:rsid w:val="00242D3B"/>
    <w:rsid w:val="00243A2E"/>
    <w:rsid w:val="00243D7B"/>
    <w:rsid w:val="0024718F"/>
    <w:rsid w:val="00257B5E"/>
    <w:rsid w:val="00261ED6"/>
    <w:rsid w:val="0026489A"/>
    <w:rsid w:val="00264DBC"/>
    <w:rsid w:val="002676A5"/>
    <w:rsid w:val="00267805"/>
    <w:rsid w:val="0027680F"/>
    <w:rsid w:val="002775F9"/>
    <w:rsid w:val="00293518"/>
    <w:rsid w:val="002B05AB"/>
    <w:rsid w:val="002B1EBB"/>
    <w:rsid w:val="002B403D"/>
    <w:rsid w:val="002B7DAA"/>
    <w:rsid w:val="002D6E72"/>
    <w:rsid w:val="002D7C7F"/>
    <w:rsid w:val="002E79E5"/>
    <w:rsid w:val="002F2A60"/>
    <w:rsid w:val="002F35F0"/>
    <w:rsid w:val="002F7E26"/>
    <w:rsid w:val="0031070D"/>
    <w:rsid w:val="003111A1"/>
    <w:rsid w:val="00317A9E"/>
    <w:rsid w:val="00320177"/>
    <w:rsid w:val="0032111A"/>
    <w:rsid w:val="0032400D"/>
    <w:rsid w:val="003400C4"/>
    <w:rsid w:val="00343E76"/>
    <w:rsid w:val="00345480"/>
    <w:rsid w:val="00345A2B"/>
    <w:rsid w:val="0034773B"/>
    <w:rsid w:val="0035410E"/>
    <w:rsid w:val="00367AFC"/>
    <w:rsid w:val="003767A1"/>
    <w:rsid w:val="003817A4"/>
    <w:rsid w:val="00381A89"/>
    <w:rsid w:val="003A15EE"/>
    <w:rsid w:val="003A53E1"/>
    <w:rsid w:val="003A62B0"/>
    <w:rsid w:val="003A7F0E"/>
    <w:rsid w:val="003B24FD"/>
    <w:rsid w:val="003B7EAD"/>
    <w:rsid w:val="003C1C04"/>
    <w:rsid w:val="003C3FF8"/>
    <w:rsid w:val="003C50F8"/>
    <w:rsid w:val="003C597C"/>
    <w:rsid w:val="003D746C"/>
    <w:rsid w:val="003F2901"/>
    <w:rsid w:val="003F2B87"/>
    <w:rsid w:val="0041669A"/>
    <w:rsid w:val="00417F67"/>
    <w:rsid w:val="004231DC"/>
    <w:rsid w:val="00441A47"/>
    <w:rsid w:val="004507B3"/>
    <w:rsid w:val="004515F5"/>
    <w:rsid w:val="0045227F"/>
    <w:rsid w:val="004669DD"/>
    <w:rsid w:val="00473B78"/>
    <w:rsid w:val="00485373"/>
    <w:rsid w:val="004B1F0D"/>
    <w:rsid w:val="004B623B"/>
    <w:rsid w:val="004D0ABF"/>
    <w:rsid w:val="004D25E2"/>
    <w:rsid w:val="004E0F0C"/>
    <w:rsid w:val="004E23D0"/>
    <w:rsid w:val="004F049D"/>
    <w:rsid w:val="004F1C65"/>
    <w:rsid w:val="004F3DBC"/>
    <w:rsid w:val="004F4AB5"/>
    <w:rsid w:val="0050675E"/>
    <w:rsid w:val="005079F1"/>
    <w:rsid w:val="00514F06"/>
    <w:rsid w:val="00537CB4"/>
    <w:rsid w:val="005560A2"/>
    <w:rsid w:val="0056249F"/>
    <w:rsid w:val="00564EB7"/>
    <w:rsid w:val="00565B5A"/>
    <w:rsid w:val="00572DCE"/>
    <w:rsid w:val="005742E9"/>
    <w:rsid w:val="00580188"/>
    <w:rsid w:val="00591EB1"/>
    <w:rsid w:val="00593042"/>
    <w:rsid w:val="00596B48"/>
    <w:rsid w:val="005A09F5"/>
    <w:rsid w:val="005A45B6"/>
    <w:rsid w:val="005B0DAC"/>
    <w:rsid w:val="005C45A9"/>
    <w:rsid w:val="005C6DBF"/>
    <w:rsid w:val="005D1D74"/>
    <w:rsid w:val="005D23A6"/>
    <w:rsid w:val="005E0690"/>
    <w:rsid w:val="005E1890"/>
    <w:rsid w:val="005F7FAC"/>
    <w:rsid w:val="0060399E"/>
    <w:rsid w:val="00604E4A"/>
    <w:rsid w:val="0061340C"/>
    <w:rsid w:val="006140D5"/>
    <w:rsid w:val="00626421"/>
    <w:rsid w:val="00643F55"/>
    <w:rsid w:val="00652D27"/>
    <w:rsid w:val="00653684"/>
    <w:rsid w:val="006637E6"/>
    <w:rsid w:val="0067172A"/>
    <w:rsid w:val="00671DCC"/>
    <w:rsid w:val="00672859"/>
    <w:rsid w:val="00690867"/>
    <w:rsid w:val="0069294B"/>
    <w:rsid w:val="00693A3E"/>
    <w:rsid w:val="006958E2"/>
    <w:rsid w:val="006A1233"/>
    <w:rsid w:val="006A2191"/>
    <w:rsid w:val="006A530B"/>
    <w:rsid w:val="006B4ECA"/>
    <w:rsid w:val="006C0E6B"/>
    <w:rsid w:val="006D33A1"/>
    <w:rsid w:val="006D72F3"/>
    <w:rsid w:val="006E3428"/>
    <w:rsid w:val="006E5DC5"/>
    <w:rsid w:val="006F20AC"/>
    <w:rsid w:val="006F6AA6"/>
    <w:rsid w:val="00704C9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5E4"/>
    <w:rsid w:val="00790C54"/>
    <w:rsid w:val="00792D31"/>
    <w:rsid w:val="00797670"/>
    <w:rsid w:val="00797FC3"/>
    <w:rsid w:val="007B237B"/>
    <w:rsid w:val="007B494F"/>
    <w:rsid w:val="007B4BD5"/>
    <w:rsid w:val="007B7EDC"/>
    <w:rsid w:val="007C1A49"/>
    <w:rsid w:val="007C3BBF"/>
    <w:rsid w:val="007C7E05"/>
    <w:rsid w:val="007D2D49"/>
    <w:rsid w:val="007D6B46"/>
    <w:rsid w:val="007E2CC4"/>
    <w:rsid w:val="007E3AAF"/>
    <w:rsid w:val="007E4E4D"/>
    <w:rsid w:val="007F0D41"/>
    <w:rsid w:val="007F60EF"/>
    <w:rsid w:val="007F6484"/>
    <w:rsid w:val="007F729A"/>
    <w:rsid w:val="00800F7B"/>
    <w:rsid w:val="00801A53"/>
    <w:rsid w:val="00805540"/>
    <w:rsid w:val="008105F4"/>
    <w:rsid w:val="00810607"/>
    <w:rsid w:val="00810822"/>
    <w:rsid w:val="00810C26"/>
    <w:rsid w:val="00813F82"/>
    <w:rsid w:val="00817318"/>
    <w:rsid w:val="008206BF"/>
    <w:rsid w:val="008213DC"/>
    <w:rsid w:val="00821C89"/>
    <w:rsid w:val="00822723"/>
    <w:rsid w:val="00826CA2"/>
    <w:rsid w:val="00830A3D"/>
    <w:rsid w:val="00833ED3"/>
    <w:rsid w:val="0084265E"/>
    <w:rsid w:val="00847B4B"/>
    <w:rsid w:val="0085060E"/>
    <w:rsid w:val="00854263"/>
    <w:rsid w:val="00857306"/>
    <w:rsid w:val="00863AEC"/>
    <w:rsid w:val="00864FD8"/>
    <w:rsid w:val="00872908"/>
    <w:rsid w:val="008817CF"/>
    <w:rsid w:val="00883DA2"/>
    <w:rsid w:val="00885E9D"/>
    <w:rsid w:val="00890BAD"/>
    <w:rsid w:val="008935DF"/>
    <w:rsid w:val="008943CA"/>
    <w:rsid w:val="008A19C2"/>
    <w:rsid w:val="008A2292"/>
    <w:rsid w:val="008A251B"/>
    <w:rsid w:val="008B18D7"/>
    <w:rsid w:val="008B5795"/>
    <w:rsid w:val="008C02CE"/>
    <w:rsid w:val="008C0F47"/>
    <w:rsid w:val="008D1B5D"/>
    <w:rsid w:val="008F0F61"/>
    <w:rsid w:val="008F2D82"/>
    <w:rsid w:val="008F33E3"/>
    <w:rsid w:val="008F7A87"/>
    <w:rsid w:val="009032E1"/>
    <w:rsid w:val="0090453B"/>
    <w:rsid w:val="00916D93"/>
    <w:rsid w:val="00921223"/>
    <w:rsid w:val="00931F4D"/>
    <w:rsid w:val="00937D9A"/>
    <w:rsid w:val="009446AF"/>
    <w:rsid w:val="00946744"/>
    <w:rsid w:val="00946D52"/>
    <w:rsid w:val="0096313A"/>
    <w:rsid w:val="00963EF0"/>
    <w:rsid w:val="00971190"/>
    <w:rsid w:val="00972453"/>
    <w:rsid w:val="00972995"/>
    <w:rsid w:val="00976B16"/>
    <w:rsid w:val="00976EC7"/>
    <w:rsid w:val="00982930"/>
    <w:rsid w:val="00991E62"/>
    <w:rsid w:val="00992E9D"/>
    <w:rsid w:val="009B237A"/>
    <w:rsid w:val="009B2EA8"/>
    <w:rsid w:val="009C0074"/>
    <w:rsid w:val="009C131E"/>
    <w:rsid w:val="009C637E"/>
    <w:rsid w:val="009C7CE7"/>
    <w:rsid w:val="009D2734"/>
    <w:rsid w:val="009D7411"/>
    <w:rsid w:val="009E4781"/>
    <w:rsid w:val="009E5636"/>
    <w:rsid w:val="009E653C"/>
    <w:rsid w:val="009F2204"/>
    <w:rsid w:val="009F63D6"/>
    <w:rsid w:val="00A052FA"/>
    <w:rsid w:val="00A14130"/>
    <w:rsid w:val="00A1565F"/>
    <w:rsid w:val="00A24D3D"/>
    <w:rsid w:val="00A3159B"/>
    <w:rsid w:val="00A44CD8"/>
    <w:rsid w:val="00A60409"/>
    <w:rsid w:val="00A6045B"/>
    <w:rsid w:val="00A6310B"/>
    <w:rsid w:val="00A66BED"/>
    <w:rsid w:val="00A67752"/>
    <w:rsid w:val="00A71DEC"/>
    <w:rsid w:val="00A72134"/>
    <w:rsid w:val="00A750F9"/>
    <w:rsid w:val="00A83771"/>
    <w:rsid w:val="00A846D9"/>
    <w:rsid w:val="00AA0DA0"/>
    <w:rsid w:val="00AA5BDC"/>
    <w:rsid w:val="00AB7EF9"/>
    <w:rsid w:val="00AC20A7"/>
    <w:rsid w:val="00AC4AF3"/>
    <w:rsid w:val="00AD1098"/>
    <w:rsid w:val="00AD1B62"/>
    <w:rsid w:val="00AD2CE8"/>
    <w:rsid w:val="00AD42D8"/>
    <w:rsid w:val="00AE201F"/>
    <w:rsid w:val="00AE525A"/>
    <w:rsid w:val="00AF3759"/>
    <w:rsid w:val="00AF71FC"/>
    <w:rsid w:val="00AF73BE"/>
    <w:rsid w:val="00B002F3"/>
    <w:rsid w:val="00B10199"/>
    <w:rsid w:val="00B117E4"/>
    <w:rsid w:val="00B11B8B"/>
    <w:rsid w:val="00B13AA1"/>
    <w:rsid w:val="00B14145"/>
    <w:rsid w:val="00B22779"/>
    <w:rsid w:val="00B22901"/>
    <w:rsid w:val="00B24500"/>
    <w:rsid w:val="00B24BF3"/>
    <w:rsid w:val="00B26129"/>
    <w:rsid w:val="00B27EB3"/>
    <w:rsid w:val="00B325DF"/>
    <w:rsid w:val="00B41F17"/>
    <w:rsid w:val="00B44E8B"/>
    <w:rsid w:val="00B45BAF"/>
    <w:rsid w:val="00B52BCD"/>
    <w:rsid w:val="00B61D4C"/>
    <w:rsid w:val="00B63441"/>
    <w:rsid w:val="00B645CD"/>
    <w:rsid w:val="00B73AD2"/>
    <w:rsid w:val="00B8398F"/>
    <w:rsid w:val="00BA1C0D"/>
    <w:rsid w:val="00BA28AB"/>
    <w:rsid w:val="00BA6039"/>
    <w:rsid w:val="00BB40F9"/>
    <w:rsid w:val="00BC2E14"/>
    <w:rsid w:val="00BC5CDD"/>
    <w:rsid w:val="00BC7AF8"/>
    <w:rsid w:val="00BD184A"/>
    <w:rsid w:val="00BD38A4"/>
    <w:rsid w:val="00BD5C25"/>
    <w:rsid w:val="00BD75B1"/>
    <w:rsid w:val="00BE07CB"/>
    <w:rsid w:val="00BF192E"/>
    <w:rsid w:val="00BF5175"/>
    <w:rsid w:val="00C010FC"/>
    <w:rsid w:val="00C02DAB"/>
    <w:rsid w:val="00C04556"/>
    <w:rsid w:val="00C04C6E"/>
    <w:rsid w:val="00C07145"/>
    <w:rsid w:val="00C1221B"/>
    <w:rsid w:val="00C15C18"/>
    <w:rsid w:val="00C170C5"/>
    <w:rsid w:val="00C17A46"/>
    <w:rsid w:val="00C27247"/>
    <w:rsid w:val="00C27877"/>
    <w:rsid w:val="00C2796C"/>
    <w:rsid w:val="00C35450"/>
    <w:rsid w:val="00C41500"/>
    <w:rsid w:val="00C5432B"/>
    <w:rsid w:val="00C620DD"/>
    <w:rsid w:val="00C65D27"/>
    <w:rsid w:val="00C73A4D"/>
    <w:rsid w:val="00C8344D"/>
    <w:rsid w:val="00C94BB2"/>
    <w:rsid w:val="00C97546"/>
    <w:rsid w:val="00CA05EF"/>
    <w:rsid w:val="00CB3A2E"/>
    <w:rsid w:val="00CB7F03"/>
    <w:rsid w:val="00CC25B1"/>
    <w:rsid w:val="00CC2DB1"/>
    <w:rsid w:val="00CC64E7"/>
    <w:rsid w:val="00CC7E66"/>
    <w:rsid w:val="00CE0B54"/>
    <w:rsid w:val="00CE326B"/>
    <w:rsid w:val="00CE3DD7"/>
    <w:rsid w:val="00CF1674"/>
    <w:rsid w:val="00CF4311"/>
    <w:rsid w:val="00D0319B"/>
    <w:rsid w:val="00D1269E"/>
    <w:rsid w:val="00D147A3"/>
    <w:rsid w:val="00D23587"/>
    <w:rsid w:val="00D32CE5"/>
    <w:rsid w:val="00D33B4B"/>
    <w:rsid w:val="00D34D19"/>
    <w:rsid w:val="00D44DE5"/>
    <w:rsid w:val="00D46327"/>
    <w:rsid w:val="00D4637A"/>
    <w:rsid w:val="00D51F74"/>
    <w:rsid w:val="00D6325C"/>
    <w:rsid w:val="00D65EF8"/>
    <w:rsid w:val="00D730A8"/>
    <w:rsid w:val="00D8224D"/>
    <w:rsid w:val="00D83C2C"/>
    <w:rsid w:val="00D918CE"/>
    <w:rsid w:val="00D95BB2"/>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4791C"/>
    <w:rsid w:val="00E577D6"/>
    <w:rsid w:val="00E60A38"/>
    <w:rsid w:val="00E623CE"/>
    <w:rsid w:val="00E6339F"/>
    <w:rsid w:val="00E80189"/>
    <w:rsid w:val="00E82848"/>
    <w:rsid w:val="00E963A6"/>
    <w:rsid w:val="00EA19F8"/>
    <w:rsid w:val="00EA2B47"/>
    <w:rsid w:val="00EA434D"/>
    <w:rsid w:val="00EB26DB"/>
    <w:rsid w:val="00EB4D23"/>
    <w:rsid w:val="00EC1BF2"/>
    <w:rsid w:val="00EC3CC9"/>
    <w:rsid w:val="00ED0341"/>
    <w:rsid w:val="00ED094F"/>
    <w:rsid w:val="00ED0DF4"/>
    <w:rsid w:val="00ED1F00"/>
    <w:rsid w:val="00ED2A60"/>
    <w:rsid w:val="00ED41DA"/>
    <w:rsid w:val="00EE102F"/>
    <w:rsid w:val="00EE785A"/>
    <w:rsid w:val="00EF1328"/>
    <w:rsid w:val="00F031DC"/>
    <w:rsid w:val="00F109F6"/>
    <w:rsid w:val="00F207E6"/>
    <w:rsid w:val="00F23256"/>
    <w:rsid w:val="00F36B30"/>
    <w:rsid w:val="00F36E8B"/>
    <w:rsid w:val="00F563DB"/>
    <w:rsid w:val="00F87923"/>
    <w:rsid w:val="00F93DD4"/>
    <w:rsid w:val="00F94849"/>
    <w:rsid w:val="00FB2433"/>
    <w:rsid w:val="00FB29AA"/>
    <w:rsid w:val="00FB2E50"/>
    <w:rsid w:val="00FB4CDB"/>
    <w:rsid w:val="00FC3AA1"/>
    <w:rsid w:val="00FC4956"/>
    <w:rsid w:val="00FD68A1"/>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customStyle="1" w:styleId="GridTable1LightAccent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customStyle="1" w:styleId="GridTable1LightAccent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9E967-5C1B-41A1-AF6A-A0E6E4FB2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[PRY]_Minuta_[aaaammdd]_PalabraClave.dotx</Template>
  <TotalTime>103</TotalTime>
  <Pages>2</Pages>
  <Words>706</Words>
  <Characters>3883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4580</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Claudia Zarate</dc:creator>
  <cp:lastModifiedBy>Paula Rojas</cp:lastModifiedBy>
  <cp:revision>32</cp:revision>
  <cp:lastPrinted>2008-09-11T22:09:00Z</cp:lastPrinted>
  <dcterms:created xsi:type="dcterms:W3CDTF">2013-08-05T22:08:00Z</dcterms:created>
  <dcterms:modified xsi:type="dcterms:W3CDTF">2015-09-23T23:58:00Z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