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C903C3">
              <w:br/>
              <w:t>También por default la preventa queda como TipoPedido = normal, siendo que debería ser posfechado cuando le pone la fecha entrega &gt; al dia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(Route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Los pedidos normales (crédito) y de pago anticipado tendrían fecha de entrega por default de +1 día hábil (se deben considerar las excepciones de frecuencia). Para ello agregar en ConfigParametro un nuevo parámetro para “DiasDeSurtido” y otro para "DiasMaxDeSurtido"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Dar de alta el combo de TURNO en Android como aparece en mobile ya que el cliente de Cuervo lo necesita para capturar opciones en campo y se enviarían por interfaz también, así que se agregaría un campo adicional para 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P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Modificar el Mantenimiento de Pedidos en la Terminal para validar el parámetro ‘PrecioSegunCFVTipo’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Agregar un parámetro en ConfigParámetro que indique cuantos caracteres deberían permitirse capturar en el campo No. Pedido que se guarda en TRPVtaAcreditada.Observaciones2 (varchar(500)).</w:t>
            </w:r>
            <w:r w:rsidRPr="00E114CF">
              <w:rPr>
                <w:highlight w:val="green"/>
              </w:rPr>
              <w:br/>
              <w:t>- Enviar en la interfaz de Orders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ArregloTransProd</w:t>
      </w:r>
      <w:r w:rsidR="004B5A69" w:rsidRPr="00C903C3">
        <w:rPr>
          <w:rFonts w:ascii="Arial" w:hAnsi="Arial" w:cs="Arial"/>
          <w:sz w:val="20"/>
          <w:szCs w:val="20"/>
        </w:rPr>
        <w:t>, para ello ir a &lt;VAVDescripcion&gt; y obtener &lt;VAVDescripcion.Descripcion&gt; donde &lt;VAVDescripcion.VARCodigo = ‘PEDTIPO</w:t>
      </w:r>
      <w:r w:rsidR="000557E7" w:rsidRPr="00C903C3">
        <w:rPr>
          <w:rFonts w:ascii="Arial" w:hAnsi="Arial" w:cs="Arial"/>
          <w:sz w:val="20"/>
          <w:szCs w:val="20"/>
        </w:rPr>
        <w:t>’</w:t>
      </w:r>
      <w:r w:rsidR="004B5A69" w:rsidRPr="00C903C3">
        <w:rPr>
          <w:rFonts w:ascii="Arial" w:hAnsi="Arial" w:cs="Arial"/>
          <w:sz w:val="20"/>
          <w:szCs w:val="20"/>
        </w:rPr>
        <w:t>&gt; y &lt;VAVDescripcion.VAVClave = TransProd.TipoPedido&gt;, de acuerdo al tipo de lengua</w:t>
      </w:r>
      <w:r w:rsidR="000E4BAC" w:rsidRPr="00C903C3">
        <w:rPr>
          <w:rFonts w:ascii="Arial" w:hAnsi="Arial" w:cs="Arial"/>
          <w:sz w:val="20"/>
          <w:szCs w:val="20"/>
        </w:rPr>
        <w:t>je configurado para el sistema. Si el movimiento que se está realizando es un Pedido &lt;TransProd.Tipo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&lt;TransProd.Tipo =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Para cada transacción incluida en el ArregloTransProd</w:t>
      </w:r>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&lt;ModuloTerm.TipoIndice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E228BB">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&lt;ModuloTerm.TipoIndice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DE0EE3">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&lt;TransProd.Tipo &lt;&gt;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de acuerdo al tipo de lengu</w:t>
      </w:r>
      <w:r w:rsidR="00E748A6" w:rsidRPr="00C903C3">
        <w:rPr>
          <w:rFonts w:ascii="Arial" w:hAnsi="Arial" w:cs="Arial"/>
          <w:sz w:val="20"/>
          <w:szCs w:val="20"/>
          <w:lang w:val="es-ES"/>
        </w:rPr>
        <w:t>aje configurado para el sistema, permitiendo que el actor seleccione uno. Asignar el valor del tipo de pedido seleccionado a &lt;TransProd.TipoPedido&gt;.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&lt;VAVDescripcion&gt; y obtener &lt;VAVDescripcion.Descripcion&gt; donde &lt;VAVDescripcion.VARCodigo = ‘</w:t>
      </w:r>
      <w:r w:rsidR="009B0350" w:rsidRPr="00580279">
        <w:rPr>
          <w:rFonts w:ascii="Arial" w:hAnsi="Arial" w:cs="Arial"/>
          <w:sz w:val="20"/>
          <w:szCs w:val="20"/>
        </w:rPr>
        <w:t>FVENTA’</w:t>
      </w:r>
      <w:r w:rsidR="002D15CB" w:rsidRPr="00580279">
        <w:rPr>
          <w:rFonts w:ascii="Arial" w:hAnsi="Arial" w:cs="Arial"/>
          <w:sz w:val="20"/>
          <w:szCs w:val="20"/>
        </w:rPr>
        <w:t xml:space="preserve">&gt; y &lt;VAVDescripcion.VAVClave = </w:t>
      </w:r>
      <w:r w:rsidR="009B0350" w:rsidRPr="00580279">
        <w:rPr>
          <w:rFonts w:ascii="Arial" w:hAnsi="Arial" w:cs="Arial"/>
          <w:sz w:val="20"/>
          <w:szCs w:val="20"/>
        </w:rPr>
        <w:t>CLIFormaVenta.CFVTipo, donde CLIFormaVenta.ClienteClave = Cliente.ClienteClave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ArregloTransProd </w:t>
      </w:r>
      <w:r w:rsidR="009B0350" w:rsidRPr="00580279">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580279">
        <w:rPr>
          <w:rFonts w:ascii="Arial" w:hAnsi="Arial" w:cs="Arial"/>
          <w:sz w:val="20"/>
          <w:szCs w:val="20"/>
          <w:lang w:val="es-ES"/>
        </w:rPr>
        <w:t>Asignar el valor de la forma de venta seleccionada a &lt;TransProd.CFVTipo&gt;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&lt;MOTConfiguracion.PrecioSegunCFVTipo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 xml:space="preserve">de la visita tomar la clave del Cliente &lt;Visita.ClienteClave&gt; con esta ir a la entidad &lt;ClienteEsquema&gt; y obtener los esquemas a los que pertenece el cliente &lt;ClienteEsquema.EsquemaID&gt; donde &lt;ClienteEsquema.ClienteClave = Visita.ClienteClave y ClienteEsquema.TipoEstado = 1&gt;, después ir a la entidad &lt;PrecioClienteEsquema&gt; y obtener las listas de precio asociadas a los esquemas a los que pertenece el cliente (o en su defecto al EsquemaIdPadre más inmediato) y que corresponden al módulo actual &lt;PrecioClienteEsquema.PrecioClave&gt; donde &lt;PrecioClienteEsquema.ModuloMovDetalleClave = ModuloMovDetalleClave actual y PrecioClienteEsquema.EsquemaID = EsquemaID a los que pertenece el cliente o esquema padre superior inmediato&gt;. De las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&lt;Precio.PrecioClave = PrecioClienteEsquema.PrecioClave&gt; donde &lt;Precio.CFVTipo = TransProd.CFVTipo y Precio.Jerarquia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&lt;TransProd.PCEPrecioClave = Precio.PrecioClave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&lt;TransProd.PCEModuloMovDetClave = PrecioClienteEsquema.ModuloMovDetalleClave&gt; y &lt;TransProd.PCEEsquemaID = PrecioClienteEsquema.EsquemaID&gt;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&lt;TransProdDetalle.Promocion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Para cada detalle del pedido almacenado en la tabla temporal, recalcular sus importes (tal como se realiza al momento de regresar al Detalle del pedido para las partidas a las que sí se les aplicó alguna promoción &lt;TransProdDetalle.Promocion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&lt;TransProdDetalle.Promocion = 1&gt;).</w:t>
      </w:r>
    </w:p>
    <w:p w:rsidR="00C94144" w:rsidRPr="00580279" w:rsidRDefault="00C94144" w:rsidP="00E114CF">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xml:space="preserve">, para ello ir a &lt;VAVDescripcion&gt; y obtener &lt;VAVDescripcion.Descripcion&gt; donde &lt;VAVDescripcion.VARCodigo = ‘PAGO’&gt; y &lt;VAVDescripcion.VAVClave = ClientePago.Tipo, donde ClientePago.ClienteClave = Cliente.ClienteClave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&lt;TransProd.</w:t>
      </w:r>
      <w:r w:rsidR="00F5013C" w:rsidRPr="00580279">
        <w:rPr>
          <w:rFonts w:ascii="Arial" w:hAnsi="Arial" w:cs="Arial"/>
          <w:sz w:val="20"/>
          <w:szCs w:val="20"/>
          <w:lang w:val="es-ES"/>
        </w:rPr>
        <w:t>ClientePagoID</w:t>
      </w:r>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&lt;TransProd.FechaCaptura&gt;</w:t>
      </w:r>
      <w:r w:rsidR="00B635FF" w:rsidRPr="00C903C3">
        <w:rPr>
          <w:rFonts w:ascii="Arial" w:hAnsi="Arial" w:cs="Arial"/>
          <w:sz w:val="20"/>
          <w:szCs w:val="20"/>
        </w:rPr>
        <w:t xml:space="preserve"> + Dias Crédito.</w:t>
      </w:r>
      <w:r w:rsidR="00140DAA" w:rsidRPr="00C903C3">
        <w:rPr>
          <w:rFonts w:ascii="Arial" w:hAnsi="Arial" w:cs="Arial"/>
          <w:sz w:val="20"/>
          <w:szCs w:val="20"/>
        </w:rPr>
        <w:t xml:space="preserve"> Asignar la fecha a &lt;TransProd.FechaCobranza&gt;.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&lt;CLIFormaVenta.CapturaDias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&lt;Dia.FechaCapt</w:t>
      </w:r>
      <w:r w:rsidR="00140DAA" w:rsidRPr="00C903C3">
        <w:rPr>
          <w:rFonts w:ascii="Arial" w:hAnsi="Arial" w:cs="Arial"/>
          <w:sz w:val="20"/>
          <w:szCs w:val="20"/>
        </w:rPr>
        <w:t xml:space="preserve">ura&gt;,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&lt;CLIFormaVenta.CapturaDias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&lt;ModuloTerm.TipoIndice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ArregloTransProd,</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&lt;TransProd.FechaEntrega = Dia</w:t>
      </w:r>
      <w:r w:rsidR="00FA5D22" w:rsidRPr="00C903C3">
        <w:rPr>
          <w:rFonts w:ascii="Arial" w:hAnsi="Arial" w:cs="Arial"/>
          <w:sz w:val="20"/>
          <w:szCs w:val="20"/>
        </w:rPr>
        <w:t xml:space="preserve">.FechaCaptura&gt;.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incluida en el ArregloTransProd: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&lt;TransProd.TipoPedido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&lt;TransProd.TipoPedido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a cada transacción incluida en el ArregloTransProd,</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 xml:space="preserve">&lt;TransProd.FechaEntrega = FechaMinimaEntrega&gt;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r w:rsidR="005D2427" w:rsidRPr="00C903C3">
        <w:rPr>
          <w:rFonts w:ascii="Arial" w:hAnsi="Arial" w:cs="Arial"/>
          <w:sz w:val="20"/>
          <w:szCs w:val="20"/>
        </w:rPr>
        <w:t>CONHist</w:t>
      </w:r>
      <w:r w:rsidR="005D2427" w:rsidRPr="00C903C3">
        <w:rPr>
          <w:rFonts w:ascii="Arial" w:hAnsi="Arial" w:cs="Arial"/>
          <w:sz w:val="20"/>
          <w:szCs w:val="20"/>
          <w:lang w:val="x-none"/>
        </w:rPr>
        <w:t>.Dias</w:t>
      </w:r>
      <w:r w:rsidR="005D2427" w:rsidRPr="00C903C3">
        <w:rPr>
          <w:rFonts w:ascii="Arial" w:hAnsi="Arial" w:cs="Arial"/>
          <w:sz w:val="20"/>
          <w:szCs w:val="20"/>
        </w:rPr>
        <w:t>MaxSurtido</w:t>
      </w:r>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2"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2"/>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(FechaMinimaEntrega)</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C10875" w:rsidRPr="00C903C3" w:rsidRDefault="00FF5278"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FechaEntrega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(FechaMinimaEntrega)</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(FechaMinimaEntrega)&gt;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(FechaMaximaEntrega)&gt;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Para cada transacción incluida en el ArregloTransProd</w:t>
      </w:r>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834B69" w:rsidRPr="00C903C3" w:rsidRDefault="00834B69"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(FechaMaximaEntrega)</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(FechaMinimaEntrega)</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&lt;Dia.FechaCaptura&gt;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406C0D" w:rsidRPr="00C903C3" w:rsidRDefault="00406C0D"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&lt;ConfigParametro.Valor&gt; donde </w:t>
      </w:r>
      <w:r w:rsidR="00E114CF" w:rsidRPr="00E114CF">
        <w:rPr>
          <w:rFonts w:ascii="Arial" w:hAnsi="Arial" w:cs="Arial"/>
          <w:sz w:val="20"/>
          <w:szCs w:val="20"/>
          <w:highlight w:val="green"/>
        </w:rPr>
        <w:t xml:space="preserve">&lt;ConfigParametro.Parametro = ‘LongitudCampoNoPedCte’&gt; y &lt;ConfigParametro.Identificador = ModuloMovDetalleClave </w:t>
      </w:r>
      <w:r w:rsidR="00E114CF" w:rsidRPr="00DB13DA">
        <w:rPr>
          <w:rFonts w:ascii="Arial" w:hAnsi="Arial" w:cs="Arial"/>
          <w:sz w:val="20"/>
          <w:szCs w:val="20"/>
          <w:highlight w:val="green"/>
        </w:rPr>
        <w:t>registrado en sesión&gt;</w:t>
      </w:r>
      <w:r w:rsidR="00E66D92">
        <w:rPr>
          <w:rFonts w:ascii="Arial" w:hAnsi="Arial" w:cs="Arial"/>
          <w:sz w:val="20"/>
          <w:szCs w:val="20"/>
          <w:highlight w:val="green"/>
        </w:rPr>
        <w:t>.</w:t>
      </w:r>
      <w:bookmarkStart w:id="4" w:name="_GoBack"/>
      <w:bookmarkEnd w:id="4"/>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Impuestos y Promos</w:t>
      </w:r>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5"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5"/>
      <w:r w:rsidRPr="00E114CF">
        <w:rPr>
          <w:rFonts w:ascii="Arial" w:hAnsi="Arial" w:cs="Arial"/>
          <w:b/>
          <w:sz w:val="20"/>
          <w:szCs w:val="20"/>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 xml:space="preserve">Se presenta la Clave de la Ruta &lt;Ruta.RUTClave&gt; + “-“ +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 +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3330A"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*Descuento 1) /100</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 xml:space="preserve">Segundo Descuento = </w:t>
      </w:r>
      <w:r w:rsidRPr="00D05EF6">
        <w:rPr>
          <w:rFonts w:ascii="Arial" w:hAnsi="Arial" w:cs="Arial"/>
          <w:sz w:val="20"/>
          <w:szCs w:val="20"/>
          <w:highlight w:val="blue"/>
          <w:lang w:eastAsia="es-ES"/>
        </w:rPr>
        <w:t>((</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Descuento 2) / 100</w:t>
      </w:r>
    </w:p>
    <w:p w:rsidR="00300EFE" w:rsidRPr="00D05EF6" w:rsidRDefault="00300EFE"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Total Venta con Descuento: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Segundo Descuento</w:t>
      </w:r>
      <w:r w:rsidRPr="00D05EF6">
        <w:rPr>
          <w:rFonts w:ascii="Arial" w:hAnsi="Arial" w:cs="Arial"/>
          <w:sz w:val="20"/>
          <w:szCs w:val="20"/>
          <w:highlight w:val="blue"/>
          <w:lang w:eastAsia="es-ES"/>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r w:rsidRPr="00C903C3">
        <w:rPr>
          <w:rFonts w:ascii="Arial" w:hAnsi="Arial" w:cs="Arial"/>
          <w:sz w:val="20"/>
          <w:szCs w:val="20"/>
        </w:rPr>
        <w:t>ExcepcionFrec</w:t>
      </w:r>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 xml:space="preserve">ExcepcionFrec.Mes = al mes de la fecha de entrega recibida como parámetro&gt; Y si </w:t>
      </w:r>
      <w:r w:rsidRPr="00C903C3">
        <w:rPr>
          <w:rFonts w:ascii="Arial" w:hAnsi="Arial" w:cs="Arial"/>
          <w:sz w:val="20"/>
        </w:rPr>
        <w:t>&lt;</w:t>
      </w:r>
      <w:r w:rsidRPr="00C903C3">
        <w:rPr>
          <w:rFonts w:ascii="Arial" w:hAnsi="Arial" w:cs="Arial"/>
          <w:sz w:val="20"/>
          <w:szCs w:val="20"/>
        </w:rPr>
        <w:t>ExcepcionFrec.Anio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r w:rsidRPr="00C903C3">
        <w:rPr>
          <w:rFonts w:ascii="Arial" w:hAnsi="Arial" w:cs="Arial"/>
          <w:sz w:val="20"/>
          <w:szCs w:val="20"/>
        </w:rPr>
        <w:t>ExcepcionFrec.Dia&gt;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ExcepcionFrec.Mes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r w:rsidRPr="00E114CF">
        <w:rPr>
          <w:rFonts w:ascii="Arial" w:hAnsi="Arial" w:cs="Arial"/>
          <w:i/>
          <w:sz w:val="20"/>
          <w:szCs w:val="20"/>
        </w:rPr>
        <w:t>SaldoCliente</w:t>
      </w:r>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w:t>
      </w:r>
      <w:r w:rsidR="00016DA0" w:rsidRPr="00E114CF">
        <w:rPr>
          <w:rFonts w:ascii="Arial" w:hAnsi="Arial" w:cs="Arial"/>
          <w:sz w:val="20"/>
          <w:szCs w:val="20"/>
        </w:rPr>
        <w:t>edito = 2 “Pedido/Consignación”&gt;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sustituir el valor de $0$ por el valor absoluto de SaldoCliente.</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TipoLimiteCredito = 4 “Ped</w:t>
      </w:r>
      <w:r w:rsidR="00016DA0" w:rsidRPr="00E114CF">
        <w:rPr>
          <w:rFonts w:ascii="Arial" w:hAnsi="Arial" w:cs="Arial"/>
          <w:sz w:val="20"/>
          <w:szCs w:val="20"/>
        </w:rPr>
        <w:t>ido/Consignación(sólo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r w:rsidRPr="00E114CF">
        <w:rPr>
          <w:rFonts w:ascii="Arial" w:hAnsi="Arial" w:cs="Arial"/>
          <w:i/>
          <w:sz w:val="20"/>
          <w:szCs w:val="20"/>
        </w:rPr>
        <w:t>SaldoCliente</w:t>
      </w:r>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D1D" w:rsidRDefault="00E54D1D" w:rsidP="00FB0356">
      <w:pPr>
        <w:spacing w:after="0" w:line="240" w:lineRule="auto"/>
      </w:pPr>
      <w:r>
        <w:separator/>
      </w:r>
    </w:p>
  </w:endnote>
  <w:endnote w:type="continuationSeparator" w:id="0">
    <w:p w:rsidR="00E54D1D" w:rsidRDefault="00E54D1D"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114CF" w:rsidRPr="00596B48" w:rsidTr="002D15CB">
      <w:trPr>
        <w:trHeight w:val="539"/>
      </w:trPr>
      <w:tc>
        <w:tcPr>
          <w:tcW w:w="3331" w:type="dxa"/>
        </w:tcPr>
        <w:p w:rsidR="00E114CF" w:rsidRPr="00596B48" w:rsidRDefault="00E114CF"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114CF" w:rsidRPr="00B01427" w:rsidRDefault="00E114CF"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E114CF" w:rsidRPr="00596B48" w:rsidRDefault="00E114CF"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66D92">
            <w:rPr>
              <w:rFonts w:ascii="Arial" w:hAnsi="Arial" w:cs="Arial"/>
              <w:noProof/>
            </w:rPr>
            <w:t>15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66D92">
            <w:rPr>
              <w:rFonts w:ascii="Arial" w:hAnsi="Arial" w:cs="Arial"/>
              <w:noProof/>
            </w:rPr>
            <w:t>28</w:t>
          </w:r>
          <w:r w:rsidRPr="00281F91">
            <w:rPr>
              <w:rFonts w:ascii="Arial" w:hAnsi="Arial" w:cs="Arial"/>
            </w:rPr>
            <w:fldChar w:fldCharType="end"/>
          </w:r>
        </w:p>
      </w:tc>
    </w:tr>
  </w:tbl>
  <w:p w:rsidR="00E114CF" w:rsidRDefault="00E114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D1D" w:rsidRDefault="00E54D1D" w:rsidP="00FB0356">
      <w:pPr>
        <w:spacing w:after="0" w:line="240" w:lineRule="auto"/>
      </w:pPr>
      <w:r>
        <w:separator/>
      </w:r>
    </w:p>
  </w:footnote>
  <w:footnote w:type="continuationSeparator" w:id="0">
    <w:p w:rsidR="00E54D1D" w:rsidRDefault="00E54D1D"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114CF" w:rsidRPr="00FB0356" w:rsidTr="002D15CB">
      <w:tc>
        <w:tcPr>
          <w:tcW w:w="4604" w:type="dxa"/>
        </w:tcPr>
        <w:p w:rsidR="00E114CF" w:rsidRPr="00FB0356" w:rsidRDefault="00E114CF"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E114CF" w:rsidRPr="00FB0356" w:rsidRDefault="00E114CF"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14</w:t>
          </w:r>
        </w:p>
      </w:tc>
    </w:tr>
    <w:tr w:rsidR="00E114CF" w:rsidRPr="00FB0356" w:rsidTr="002D15CB">
      <w:tc>
        <w:tcPr>
          <w:tcW w:w="4604" w:type="dxa"/>
        </w:tcPr>
        <w:p w:rsidR="00E114CF" w:rsidRPr="00FB0356" w:rsidRDefault="00E114CF"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E114CF" w:rsidRPr="00FB0356" w:rsidRDefault="00E114CF"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E114CF" w:rsidRDefault="00E114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E114CF" w:rsidTr="00FB0356">
      <w:trPr>
        <w:cantSplit/>
        <w:trHeight w:val="1412"/>
      </w:trPr>
      <w:tc>
        <w:tcPr>
          <w:tcW w:w="9920" w:type="dxa"/>
          <w:vAlign w:val="center"/>
        </w:tcPr>
        <w:p w:rsidR="00E114CF" w:rsidRDefault="00E114CF"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114CF" w:rsidRPr="00872B53" w:rsidRDefault="00E114CF" w:rsidP="00FB0356">
          <w:pPr>
            <w:jc w:val="right"/>
            <w:rPr>
              <w:b/>
            </w:rPr>
          </w:pPr>
          <w:r>
            <w:rPr>
              <w:b/>
            </w:rPr>
            <w:t>Duxstar Solutions</w:t>
          </w:r>
        </w:p>
      </w:tc>
    </w:tr>
  </w:tbl>
  <w:p w:rsidR="00E114CF" w:rsidRDefault="00E114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B040D"/>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0279"/>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56219"/>
    <w:rsid w:val="008A4CA7"/>
    <w:rsid w:val="008B33E2"/>
    <w:rsid w:val="008C0E55"/>
    <w:rsid w:val="008C4728"/>
    <w:rsid w:val="008C4FD3"/>
    <w:rsid w:val="008D066A"/>
    <w:rsid w:val="008D178B"/>
    <w:rsid w:val="008D5BF6"/>
    <w:rsid w:val="008E1636"/>
    <w:rsid w:val="008E6172"/>
    <w:rsid w:val="00917A9A"/>
    <w:rsid w:val="00922C37"/>
    <w:rsid w:val="00934D3C"/>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0523"/>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03C3"/>
    <w:rsid w:val="00C94144"/>
    <w:rsid w:val="00CA2325"/>
    <w:rsid w:val="00CB13C3"/>
    <w:rsid w:val="00CD1DF8"/>
    <w:rsid w:val="00D01CB3"/>
    <w:rsid w:val="00D0390B"/>
    <w:rsid w:val="00D05EF6"/>
    <w:rsid w:val="00D35679"/>
    <w:rsid w:val="00D3765D"/>
    <w:rsid w:val="00D403AD"/>
    <w:rsid w:val="00D503E9"/>
    <w:rsid w:val="00D53468"/>
    <w:rsid w:val="00D60F2A"/>
    <w:rsid w:val="00D65AC7"/>
    <w:rsid w:val="00D807FA"/>
    <w:rsid w:val="00D919EE"/>
    <w:rsid w:val="00DB065B"/>
    <w:rsid w:val="00DB13DA"/>
    <w:rsid w:val="00DB7326"/>
    <w:rsid w:val="00DC4A7F"/>
    <w:rsid w:val="00DC6827"/>
    <w:rsid w:val="00DE0EE3"/>
    <w:rsid w:val="00DE1D60"/>
    <w:rsid w:val="00DE22D8"/>
    <w:rsid w:val="00DE6028"/>
    <w:rsid w:val="00DF0B31"/>
    <w:rsid w:val="00DF1926"/>
    <w:rsid w:val="00E001FE"/>
    <w:rsid w:val="00E03E7A"/>
    <w:rsid w:val="00E05F1A"/>
    <w:rsid w:val="00E114CF"/>
    <w:rsid w:val="00E228BB"/>
    <w:rsid w:val="00E30F2D"/>
    <w:rsid w:val="00E36443"/>
    <w:rsid w:val="00E42102"/>
    <w:rsid w:val="00E5260C"/>
    <w:rsid w:val="00E54D1D"/>
    <w:rsid w:val="00E63AF7"/>
    <w:rsid w:val="00E65047"/>
    <w:rsid w:val="00E66D92"/>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7A561-54F4-41BA-B4BB-4F5F5147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10086</TotalTime>
  <Pages>28</Pages>
  <Words>9928</Words>
  <Characters>54607</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52</cp:revision>
  <dcterms:created xsi:type="dcterms:W3CDTF">2014-12-10T21:16:00Z</dcterms:created>
  <dcterms:modified xsi:type="dcterms:W3CDTF">2017-11-03T20:10:00Z</dcterms:modified>
</cp:coreProperties>
</file>