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NakedPutScorer Weight Optimization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Research-Backed Recommendations for Naked Put Candidate Scoring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 | Prepared for Phase 4 Implementation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analysis recommends rebalancing the NakedPutScorer composite weights based on academic research on the variance risk premium, practitioner data from tastytrade/CBOE, and the specific characteristics of naked (undefined-risk) put selling on IBKR margin. The central finding is that the current weights undervalue the two factors that matter most for naked put P&amp;L: capital efficiency (the binding constraint) and IV rank (the structural edge), while overweighting return (a derived metric) and liquidity (better suited as a binary pre-filter).</w:t>
      </w:r>
    </w:p>
    <w:p>
      <w:pPr>
        <w:pStyle w:val="Heading1"/>
      </w:pPr>
      <w:r>
        <w:t xml:space="preserve">Proposed Weight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2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Capital Efficiency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+10%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Scarce resource is margin capital. Directly measures ROC on the binding constraint for naked puts.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IV 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structural edge. Variance risk premium (IV &gt; RV) is the fundamental source of returns.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Probability of Profit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consistency driver. Retain as-is; already well-calibrated.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Safety Buffer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 risk protection is existential for naked (undefined risk) positions.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Return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-10%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Derived metric. High return weight encourages chasing risk.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Liquidity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-10%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Should be primarily a pre-filter (pass/fail), not a scoring differentiator.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Formula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Formula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(return x 0.25) + (prob x 0.20) + (iv x 0.15) + (liq x 0.15) + (eff x 0.15) + (safety x 0.10)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(eff x 0.25) + (iv x 0.20) + (prob x 0.20) + (return x 0.15) + (safety x 0.15) + (liq x 0.05)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Detailed Research Findings</w:t>
      </w:r>
    </w:p>
    <w:p>
      <w:pPr>
        <w:pStyle w:val="Heading2"/>
      </w:pPr>
      <w:r>
        <w:t xml:space="preserve">1. Capital Efficiency: 15% → 25% (Largest Increase)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Why this is the #1 factor for naked puts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Margin is the binding constraint. </w:t>
      </w:r>
      <w:r>
        <w:t xml:space="preserve">Unlike cash-secured puts where cash is the limit, naked puts on IBKR portfolio margin tie up margin capital that varies dynamically with market conditions. A trade that offers $0.40 premium but requires $2,000 margin (2% efficiency) is objectively better than one offering $0.50 premium requiring $5,000 margin (1% efficiency), even though the latter has a higher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Margin expansion risk is asymmetric. </w:t>
      </w:r>
      <w:r>
        <w:t xml:space="preserve">Research and practitioner experience (documented in the SJ Options tastytrade analysis and IBKR margin behavior studies) shows margin requirements can increase 200%+ during market stress, not the 30-40% often cited. Positions with poor capital efficiency amplify this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Portfolio-level returns are driven by capital allocation. </w:t>
      </w:r>
      <w:r>
        <w:t xml:space="preserve">CBOE research on the PUT Index (Bondarenko, 2019) shows that the collateralized put-write strategy achieves a Sharpe ratio of 0.65, higher than many alternatives, largely because efficient capital use allows consistent reinvestment of freed capital.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Your target margin efficiency of 1:10 to 1:20 is the defining constraint. </w:t>
      </w:r>
      <w:r>
        <w:t xml:space="preserve">This should be the highest-weighted factor because it directly determines how many positions fit within your 50% NLV margin budget and 10 concurrent position limit.</w:t>
      </w:r>
    </w:p>
    <w:p>
      <w:pPr>
        <w:pStyle w:val="Heading2"/>
      </w:pPr>
      <w:r>
        <w:t xml:space="preserve">2. IV Rank: 15% → 20% (The Structural Edge)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Academic and practitioner evidence: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Variance Risk Premium (VRP) is the fundamental source of returns. </w:t>
      </w:r>
      <w:r>
        <w:t xml:space="preserve">Bollerslev, Tauchen &amp; Zhou (2009, Review of Financial Studies) showed that the difference between implied and realized variance explains over 15% of quarterly excess return variation. This VRP is captured precisely when you sell options at elevated IV that subsequently contracts.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tastytrade research confirms: IV Rank is their "go-to metric for trade entry." </w:t>
      </w:r>
      <w:r>
        <w:t xml:space="preserve">Their backtests on SPY strangles show meaningfully better win rates and P&amp;L per trade when IV Rank exceeds 30-50%. The "Dissecting High IV Rank" study demonstrated that success rate and profitability of strangles vary significantly with IV Rank thresholds.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IV is mean-reverting. </w:t>
      </w:r>
      <w:r>
        <w:t xml:space="preserve">Options prices consistently revert to their mean, making elevated IV a statistically significant entry signal. Academic literature (Quantpedia meta-analysis) documents that selling at-the-money options yields average daily returns of 0.5-1.5% when IV is elevated, though with significant tail risk.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IV Percentile may be superior to IV Rank. </w:t>
      </w:r>
      <w:r>
        <w:t xml:space="preserve">ProjectFinance research and tastytrade analysis show that IV Percentile provides more robust signals, especially after volatility spikes. IV Rank can remain depressed even when IV is objectively high if a recent spike distorted the range. Consider using IV Percentile as the primary metric, or a blended approach.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Caution: Very high IV often signals genuine danger. </w:t>
      </w:r>
      <w:r>
        <w:t xml:space="preserve">Your current score_iv_rank function correctly gives 100 for the 60-80% sweet spot but only 90 for &gt;80%. This is wise. Neuberger Berman research on put-writing strategies notes that forecasting IV levels adds only marginal value due to the unlevered vega exposure, but entering at elevated IV does capture more premium.</w:t>
      </w:r>
    </w:p>
    <w:p>
      <w:pPr>
        <w:pStyle w:val="Heading2"/>
      </w:pPr>
      <w:r>
        <w:t xml:space="preserve">3. Probability of Profit: 20% → 20% (Unchanged)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Already well-calibrated. </w:t>
      </w:r>
      <w:r>
        <w:t xml:space="preserve">Probability of profit (1 - delta, approximately) is the most intuitive and important risk metric. Your threshold of 85%+ good / 90%+ excellent aligns with industry best practices.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Partially redundant with safety buffer. </w:t>
      </w:r>
      <w:r>
        <w:t xml:space="preserve">Both prob and safety measure how far OTM the strike is, just from different perspectives (Black-Scholes probability vs. raw percentage distance). The combined 35% allocation (20% + 15%) to these related risk measures is appropriate for undefined-risk positions.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tastytrade methodology emphasizes probability heavily. </w:t>
      </w:r>
      <w:r>
        <w:t xml:space="preserve">Their core framework targets ~68% probability (1 standard deviation) for strangles, but for single-leg naked puts, your higher 85%+ threshold reflects the asymmetric risk profile and is more conservative, which is appropriate.</w:t>
      </w:r>
    </w:p>
    <w:p>
      <w:pPr>
        <w:pStyle w:val="Heading2"/>
      </w:pPr>
      <w:r>
        <w:t xml:space="preserve">4. Safety Buffer: 10% → 15% (Increased)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Gap risk protection. </w:t>
      </w:r>
      <w:r>
        <w:t xml:space="preserve">Black-Scholes probability assumes continuous price movement, but stocks gap overnight. Safety buffer (raw distance OTM) provides a more intuitive measure of protection against gap moves that probability doesn't fully capture.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Critical for naked positions specifically. </w:t>
      </w:r>
      <w:r>
        <w:t xml:space="preserve">In defined-risk strategies (spreads), the safety buffer is less important because the long leg caps losses. For naked puts with theoretically unlimited downside, the raw distance to strike is a genuine survival metric.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Your 12-18% OTM optimal range is well-researched. </w:t>
      </w:r>
      <w:r>
        <w:t xml:space="preserve">This provides sufficient distance to absorb 2-3 standard deviation moves while keeping premium attractive. The increase from 10% to 15% weight reflects the existential importance of this metric for naked positions.</w:t>
      </w:r>
    </w:p>
    <w:p>
      <w:pPr>
        <w:pStyle w:val="Heading2"/>
      </w:pPr>
      <w:r>
        <w:t xml:space="preserve">5. Annualized Return: 25% → 15% (Largest Decrease)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Return is a derived metric. </w:t>
      </w:r>
      <w:r>
        <w:t xml:space="preserve">Annualized return is calculated from premium, DTE, and estimated margin. It doesn't add independent information beyond what efficiency, IV, and probability already capture. Overweighting it creates a feedback loop that rewards high-risk positions.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High annualized return often signals danger. </w:t>
      </w:r>
      <w:r>
        <w:t xml:space="preserve">Your own score_rules correctly flags returns &gt;150% as suspicious and &gt;200% as almost certainly hidden risk. But at 25% weight, the return dimension still dominates the composite, potentially pulling risky trades up the rankings.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Reducing to 15% while maintaining as a sanity check. </w:t>
      </w:r>
      <w:r>
        <w:t xml:space="preserve">Return still matters as a cross-check that the premium collected is adequate compensation for the risk. At 15%, it influences rankings without dominating them.</w:t>
      </w:r>
    </w:p>
    <w:p>
      <w:pPr>
        <w:pStyle w:val="Heading2"/>
      </w:pPr>
      <w:r>
        <w:t xml:space="preserve">6. Liquidity: 15% → 5% (Converted to Filter + Minimal Weight)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Liquidity is binary in practice. </w:t>
      </w:r>
      <w:r>
        <w:t xml:space="preserve">Either you can get a reasonable fill or you can't. The difference between OI of 5,000 and OI of 50,000 has negligible impact on a 1-lot fill for your strategy. Once minimum thresholds are met (OI &gt;1,000, Volume &gt;100), additional liquidity doesn't materially improve trade outcomes.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Better as a pre-filter. </w:t>
      </w:r>
      <w:r>
        <w:t xml:space="preserve">Reject candidates below minimum liquidity thresholds before scoring. The remaining 5% weight acts as a minor tiebreaker, preferring more liquid options when all else is equal.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Barchart pre-screening already filters for liquid options. </w:t>
      </w:r>
      <w:r>
        <w:t xml:space="preserve">Your Barchart Scout strategy performs server-side filtering that returns only candidates from your curated ~60 liquid symbols universe. By the time candidates reach the scorer, they have already passed significant liquidity hurdles.</w:t>
      </w:r>
    </w:p>
    <w:p>
      <w:r>
        <w:br w:type="page"/>
      </w:r>
    </w:p>
    <w:p>
      <w:pPr>
        <w:pStyle w:val="Heading1"/>
      </w:pPr>
      <w:r>
        <w:t xml:space="preserve">Strategic Category View</w:t>
      </w:r>
    </w:p>
    <w:p>
      <w:pPr>
        <w:spacing w:after="200"/>
      </w:pPr>
      <w:r>
        <w:t xml:space="preserve">Grouping the six factors into strategic categories reveals the philosophy shift: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Change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Edge 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 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-&gt; 20%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variance risk premium is the core source of alpha in premium selling.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Capital Optimization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Capital Efficiency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-&gt; 25%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Margin is the binding constraint. Maximizing premium per margin dollar is paramount.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Probability + 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-&gt; 35%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Combined risk factors reflect the asymmetric downside of naked positions.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Outcome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-&gt; 15%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Partially derivative of other factors. Overweighting encourages risk-chasing.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Execution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-&gt; 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Binary gate (pass/fail) is more appropriate than continuous scoring.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sz w:val="22"/>
          <w:szCs w:val="22"/>
        </w:rPr>
        <w:t xml:space="preserve">The proposed rebalancing shifts emphasis from </w:t>
      </w:r>
      <w:r>
        <w:rPr>
          <w:b/>
          <w:bCs/>
          <w:i/>
          <w:iCs/>
          <w:sz w:val="22"/>
          <w:szCs w:val="22"/>
        </w:rPr>
        <w:t xml:space="preserve">"what's the highest return?"</w:t>
      </w:r>
      <w:r>
        <w:rPr>
          <w:sz w:val="22"/>
          <w:szCs w:val="22"/>
        </w:rPr>
        <w:t xml:space="preserve"> to </w:t>
      </w:r>
      <w:r>
        <w:rPr>
          <w:b/>
          <w:bCs/>
          <w:i/>
          <w:iCs/>
          <w:sz w:val="22"/>
          <w:szCs w:val="22"/>
        </w:rPr>
        <w:t xml:space="preserve">"what's the best risk-adjusted use of my margin capital in an elevated-IV environment?"</w:t>
      </w:r>
      <w:r>
        <w:rPr>
          <w:sz w:val="22"/>
          <w:szCs w:val="22"/>
        </w:rPr>
        <w:t xml:space="preserve"> This aligns with both academic findings on variance risk premium capture and the practical reality of managing naked positions on IBKR margin.</w:t>
      </w:r>
    </w:p>
    <w:p>
      <w:pPr>
        <w:pStyle w:val="Heading1"/>
      </w:pPr>
      <w:r>
        <w:t xml:space="preserve">Implementation Recommendations</w:t>
      </w:r>
    </w:p>
    <w:p>
      <w:pPr>
        <w:pStyle w:val="Heading2"/>
      </w:pPr>
      <w:r>
        <w:t xml:space="preserve">Code Changes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Update score_config.py DEFAULT_WEIGHTS: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ScoreWeights(
    risk_adjusted_return=0.15,
    probability=0.20,
    iv_rank=0.20,
    liquidity=0.05,
    capital_efficiency=0.25,
    safety_buffer=0.15,
)</w:t>
      </w:r>
    </w:p>
    <w:p>
      <w:pPr>
        <w:pStyle w:val="Heading2"/>
      </w:pPr>
      <w:r>
        <w:t xml:space="preserve">Additional Recommendations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Add a liquidity pre-filter </w:t>
      </w:r>
      <w:r>
        <w:t xml:space="preserve">before scoring. Reject any candidate with OI &lt;500 or Volume &lt;50 before it reaches the scorer. This makes the 5% residual weight a tiebreaker, not a real differentiator.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Consider IV Percentile over IV Rank. </w:t>
      </w:r>
      <w:r>
        <w:t xml:space="preserve">IV Percentile is more robust after volatility spikes and provides a truer picture of where current IV sits relative to its history. This is a higher-impact change than the weight adjustment itself.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Bump SCORING_VERSION to "2.0". </w:t>
      </w:r>
      <w:r>
        <w:t xml:space="preserve">Track this weight change for A/B comparison in your learning engine. Run both v1.0 and v2.0 scoring in parallel during Phase 4 to measure the impact.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Validate with backtesting before live deployment. </w:t>
      </w:r>
      <w:r>
        <w:t xml:space="preserve">Apply both weight sets to historical Barchart CSV exports and compare which scoring produced candidates closer to your actual winning manual trades. Use your learning engine's 80/20 control/test split methodology with p &lt; 0.05 and effect size &gt; 0.5% ROI improvement thresholds.</w:t>
      </w:r>
    </w:p>
    <w:p>
      <w:pPr>
        <w:pStyle w:val="Heading1"/>
      </w:pPr>
      <w:r>
        <w:t xml:space="preserve">Key Research Sources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Bollerslev, Tauchen &amp; Zhou (2009). "Expected Stock Returns and Variance Risk Premia." Review of Financial Studies. Federal Reserve Board FEDS 2007-11.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Bondarenko (2019). "Historical Performance of Put-Writing Strategies." CBOE Research Publication.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Carr &amp; Wu (2009). "Variance Risk Premia." Review of Financial Studies.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tastytrade Market Measures: "Dissecting High IV Rank" (2019), "Short Premium in Low IV" (2017), "IV Rank Based Profit Targets" (2019).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Neuberger Berman (2017). "Uncovering the Equity Index Put-Write Strategy." NB Research.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Fallon, Park &amp; Yu (2015). "Asset Allocation Implications of the Global Volatility Premium." Financial Analysts Journal.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projectfinance (2022). "IV Rank vs. IV Percentile: Which is Better?"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Quantpedia. "Volatility Risk Premium Effect." Meta-analysis of academic literature on short volatility strategies.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NakedPutScorer Weight Optimization | Research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2026-02-02T14:14:39.765Z</dcterms:created>
  <dcterms:modified xsi:type="dcterms:W3CDTF">2026-02-02T14:14:39.766Z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