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9A7420"/>
          <w:sz w:val="22"/>
          <w:szCs w:val="22"/>
        </w:rPr>
        <w:t xml:space="preserve">CÉREBRO GAZETA</w:t>
      </w:r>
    </w:p>
    <w:p>
      <w:pPr>
        <w:spacing w:after="60"/>
      </w:pPr>
      <w:r>
        <w:rPr>
          <w:b/>
          <w:bCs/>
          <w:color w:val="0F2237"/>
          <w:sz w:val="40"/>
          <w:szCs w:val="40"/>
        </w:rPr>
        <w:t xml:space="preserve">Relatório Semanal de Inteligência Competitiva</w:t>
      </w:r>
    </w:p>
    <w:p>
      <w:pPr>
        <w:spacing w:after="220"/>
      </w:pPr>
      <w:r>
        <w:rPr>
          <w:color w:val="5A6472"/>
          <w:sz w:val="20"/>
          <w:szCs w:val="20"/>
        </w:rPr>
        <w:t xml:space="preserve">Edição nº 2 · Semana de 17 a 24 de julho de 2026 · Núcleo de Audiência &amp; Métricas</w:t>
      </w:r>
    </w:p>
    <w:p>
      <w:pPr>
        <w:pStyle w:val="Heading1"/>
        <w:spacing w:after="130" w:before="300"/>
      </w:pPr>
      <w:r>
        <w:rPr>
          <w:color w:val="0F2237"/>
        </w:rPr>
        <w:t xml:space="preserve">1. Veredito das previsões da Edição nº 1</w:t>
      </w:r>
    </w:p>
    <w:p>
      <w:pPr>
        <w:spacing w:after="110" w:line="295"/>
      </w:pPr>
      <w:r>
        <w:t xml:space="preserve">A Edição 1 fez três previsões testáveis. Prestação de contas: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E7F4F"/>
        </w:rPr>
        <w:t xml:space="preserve">✓ CONFIRMADA — </w:t>
      </w:r>
      <w:r>
        <w:rPr>
          <w:b/>
          <w:bCs/>
        </w:rPr>
        <w:t xml:space="preserve">“A Folha vai cair forte sem a Copa.” </w:t>
      </w:r>
      <w:r>
        <w:t xml:space="preserve">De ~310 artigos/dia úteis para ~230 (−35%); menções à Copa despencaram de 179 para 15. A régua real da Folha em hard news apareceu — bem mais próxima da Gazeta do que o volume da semana da final sugeria.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8A2A2A"/>
        </w:rPr>
        <w:t xml:space="preserve">⚠ MEDIÇÃO COMPROMETIDA — </w:t>
      </w:r>
      <w:r>
        <w:rPr>
          <w:b/>
          <w:bCs/>
        </w:rPr>
        <w:t xml:space="preserve">“Vigiar a taxa de 72% sobre a Oeste.” </w:t>
      </w:r>
      <w:r>
        <w:t xml:space="preserve">O sitemap-news da Gazeta parou de responder em 21/07 e o coletor caiu no sitemap genérico, sem títulos. Com títulos reconstruídos por slug, a taxa medida foi 54% — número artificialmente deprimido pelo dado degradado, não por queda editorial. Correção (v2.3) já publicada; medição limpa volta na Ed. 3.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8A2A2A"/>
        </w:rPr>
        <w:t xml:space="preserve">⏳ PENDENTE — </w:t>
      </w:r>
      <w:r>
        <w:rPr>
          <w:b/>
          <w:bCs/>
        </w:rPr>
        <w:t xml:space="preserve">“O tarifaço vai escalar na busca.” </w:t>
      </w:r>
      <w:r>
        <w:t xml:space="preserve">Verificação adiada: o endpoint do Trends atingiu limite de consultas no fechamento desta edição, e a medição de captura depende do Search Console (autorização ainda pendente). Entra na Ed. 3.</w:t>
      </w:r>
    </w:p>
    <w:p>
      <w:pPr>
        <w:spacing w:after="110" w:line="295"/>
      </w:pPr>
      <w:r>
        <w:rPr>
          <w:i/>
          <w:iCs/>
          <w:color w:val="5A6472"/>
          <w:sz w:val="18"/>
          <w:szCs w:val="18"/>
        </w:rPr>
        <w:t xml:space="preserve">Nota de método: prever, registrar e prestar contas é o que separa um cérebro de um relatório. Placar desta semana: 1 acerto, 1 medição a corrigir, 1 pendência declarada.</w:t>
      </w:r>
    </w:p>
    <w:p>
      <w:pPr>
        <w:pStyle w:val="Heading1"/>
        <w:spacing w:after="130" w:before="300"/>
      </w:pPr>
      <w:r>
        <w:rPr>
          <w:color w:val="0F2237"/>
        </w:rPr>
        <w:t xml:space="preserve">2. A semana em quatro achados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</w:rPr>
        <w:t xml:space="preserve">O Estadão estreou como líder de volume do grupo. </w:t>
      </w:r>
      <w:r>
        <w:t xml:space="preserve">Com a série completa desde 21/07: 291 artigos na terça e 342 na quarta — acima de Folha (209/249) e de todos. A régua de cadência do mercado mudou de dono; o duelo direto com a Gazeta estreou favorável a ele (62% dos confrontos).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</w:rPr>
        <w:t xml:space="preserve">A fábrica da Oeste sumiu. </w:t>
      </w:r>
      <w:r>
        <w:t xml:space="preserve">Desde 22/07, a esteira “oestegeral” (provérbios, psicologia pop, truques — 52% da produção dela) desapareceu do sitemap-news, e o volume total da Oeste caiu ~50% (de ~180 para 74–100/dia). Terceiro dia consecutivo: é fato, não oscilação. Hipóteses: (a) retirada tática do canal Google News — possivelmente para evitar punição; (b) desligamento/realocação da fábrica. Qualquer cenário confirma: o volume dela era sintético e instável.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</w:rPr>
        <w:t xml:space="preserve">Sem a fábrica, a Oeste real apareceu: </w:t>
      </w:r>
      <w:r>
        <w:t xml:space="preserve">~60–100 matérias/dia de redação — menor que a cadência da Gazeta. A narrativa “Oeste publica 3x mais” está oficialmente morta nos dados.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</w:rPr>
        <w:t xml:space="preserve">O Antagonista entrou no dossiê pelos dados públicos de SEO: </w:t>
      </w:r>
      <w:r>
        <w:t xml:space="preserve">a palavra-chave nº 1 do site é “calendário bolsa família” (679 mil visitas/mês, posição 1), seguida de jogos do dia e previsão do tempo — uma fábrica de utilidade SEO sustentando o “jornalismo vigilante”, com tráfego de busca em queda (−419 mil no mês). Padrão de mercado fechado: todos os rivais sustentam volume fora do jornalismo duro.</w:t>
      </w:r>
    </w:p>
    <w:p>
      <w:pPr>
        <w:pStyle w:val="Heading1"/>
        <w:spacing w:after="130" w:before="300"/>
      </w:pPr>
      <w:r>
        <w:rPr>
          <w:color w:val="0F2237"/>
        </w:rPr>
        <w:t xml:space="preserve">3. Placar de cadência (semana completa, 17–24/07)</w:t>
      </w:r>
    </w:p>
    <w:tbl>
      <w:tblPr>
        <w:tblW w:type="dxa" w:w="9400"/>
        <w:tblBorders>
          <w:top w:val="single" w:color="D8D4CB" w:sz="4"/>
          <w:left w:val="single" w:color="D8D4CB" w:sz="4"/>
          <w:bottom w:val="single" w:color="D8D4CB" w:sz="4"/>
          <w:right w:val="single" w:color="D8D4CB" w:sz="4"/>
          <w:insideH w:val="single" w:color="E6E2D9" w:sz="4"/>
          <w:insideV w:val="single" w:color="E6E2D9" w:sz="4"/>
        </w:tblBorders>
      </w:tblPr>
      <w:tblGrid>
        <w:gridCol w:w="2100"/>
        <w:gridCol w:w="1250"/>
        <w:gridCol w:w="1250"/>
        <w:gridCol w:w="1250"/>
        <w:gridCol w:w="1250"/>
        <w:gridCol w:w="2300"/>
      </w:tblGrid>
      <w:tr>
        <w:tc>
          <w:tcPr>
            <w:tcW w:type="dxa" w:w="2100"/>
            <w:shd w:fill="EFEC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0F2237"/>
                <w:sz w:val="19"/>
                <w:szCs w:val="19"/>
              </w:rPr>
              <w:t xml:space="preserve">Veículo</w:t>
            </w:r>
          </w:p>
        </w:tc>
        <w:tc>
          <w:tcPr>
            <w:tcW w:type="dxa" w:w="1250"/>
            <w:shd w:fill="EFEC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0F2237"/>
                <w:sz w:val="19"/>
                <w:szCs w:val="19"/>
              </w:rPr>
              <w:t xml:space="preserve">Qui-Sex</w:t>
            </w:r>
          </w:p>
        </w:tc>
        <w:tc>
          <w:tcPr>
            <w:tcW w:type="dxa" w:w="1250"/>
            <w:shd w:fill="EFEC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0F2237"/>
                <w:sz w:val="19"/>
                <w:szCs w:val="19"/>
              </w:rPr>
              <w:t xml:space="preserve">Sáb/Dom</w:t>
            </w:r>
          </w:p>
        </w:tc>
        <w:tc>
          <w:tcPr>
            <w:tcW w:type="dxa" w:w="1250"/>
            <w:shd w:fill="EFEC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0F2237"/>
                <w:sz w:val="19"/>
                <w:szCs w:val="19"/>
              </w:rPr>
              <w:t xml:space="preserve">Seg</w:t>
            </w:r>
          </w:p>
        </w:tc>
        <w:tc>
          <w:tcPr>
            <w:tcW w:type="dxa" w:w="1250"/>
            <w:shd w:fill="EFEC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0F2237"/>
                <w:sz w:val="19"/>
                <w:szCs w:val="19"/>
              </w:rPr>
              <w:t xml:space="preserve">Ter-Qua</w:t>
            </w:r>
          </w:p>
        </w:tc>
        <w:tc>
          <w:tcPr>
            <w:tcW w:type="dxa" w:w="2300"/>
            <w:shd w:fill="EFEC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0F2237"/>
                <w:sz w:val="19"/>
                <w:szCs w:val="19"/>
              </w:rPr>
              <w:t xml:space="preserve">Leitura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Estadão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191*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291 / 342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novo líder de volume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Folha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227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155 / 259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393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209 / 249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régua real ~230 sem Copa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Gazeta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111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59 / 54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240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127 / 156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estável; FDS segue o gargalo</w:t>
            </w:r>
          </w:p>
        </w:tc>
      </w:tr>
      <w:tr>
        <w:tc>
          <w:tcPr>
            <w:tcW w:type="dxa" w:w="2100"/>
            <w:shd w:fill="F6F1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0F2237"/>
                <w:sz w:val="19"/>
                <w:szCs w:val="19"/>
              </w:rPr>
              <w:t xml:space="preserve">Oeste</w:t>
            </w:r>
          </w:p>
        </w:tc>
        <w:tc>
          <w:tcPr>
            <w:tcW w:type="dxa" w:w="1250"/>
            <w:shd w:fill="F6F1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0F2237"/>
                <w:sz w:val="19"/>
                <w:szCs w:val="19"/>
              </w:rPr>
              <w:t xml:space="preserve">176</w:t>
            </w:r>
          </w:p>
        </w:tc>
        <w:tc>
          <w:tcPr>
            <w:tcW w:type="dxa" w:w="1250"/>
            <w:shd w:fill="F6F1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0F2237"/>
                <w:sz w:val="19"/>
                <w:szCs w:val="19"/>
              </w:rPr>
              <w:t xml:space="preserve">184 / 180</w:t>
            </w:r>
          </w:p>
        </w:tc>
        <w:tc>
          <w:tcPr>
            <w:tcW w:type="dxa" w:w="1250"/>
            <w:shd w:fill="F6F1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0F2237"/>
                <w:sz w:val="19"/>
                <w:szCs w:val="19"/>
              </w:rPr>
              <w:t xml:space="preserve">221</w:t>
            </w:r>
          </w:p>
        </w:tc>
        <w:tc>
          <w:tcPr>
            <w:tcW w:type="dxa" w:w="1250"/>
            <w:shd w:fill="F6F1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0F2237"/>
                <w:sz w:val="19"/>
                <w:szCs w:val="19"/>
              </w:rPr>
              <w:t xml:space="preserve">74 / 100</w:t>
            </w:r>
          </w:p>
        </w:tc>
        <w:tc>
          <w:tcPr>
            <w:tcW w:type="dxa" w:w="2300"/>
            <w:shd w:fill="F6F1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0F2237"/>
                <w:sz w:val="19"/>
                <w:szCs w:val="19"/>
              </w:rPr>
              <w:t xml:space="preserve">fábrica desligada: −50%</w:t>
            </w:r>
          </w:p>
        </w:tc>
      </w:tr>
    </w:tbl>
    <w:p>
      <w:pPr>
        <w:spacing w:after="110" w:line="295"/>
      </w:pPr>
      <w:r>
        <w:rPr>
          <w:i/>
          <w:iCs/>
          <w:color w:val="5A6472"/>
          <w:sz w:val="18"/>
          <w:szCs w:val="18"/>
        </w:rPr>
        <w:t xml:space="preserve">*Estadão entrou na coleta em 21/07. O fim de semana 25–26/07 será o primeiro teste da recomendação de agendamento de FDS — veredito na Ed. 3.</w:t>
      </w:r>
    </w:p>
    <w:p>
      <w:pPr>
        <w:pStyle w:val="Heading1"/>
        <w:spacing w:after="130" w:before="300"/>
      </w:pPr>
      <w:r>
        <w:rPr>
          <w:color w:val="0F2237"/>
        </w:rPr>
        <w:t xml:space="preserve">4. Estreia: Share de Citação em IA (piloto)</w:t>
      </w:r>
    </w:p>
    <w:p>
      <w:pPr>
        <w:spacing w:after="110" w:line="295"/>
      </w:pPr>
      <w:r>
        <w:t xml:space="preserve">Primeira rodada do protocolo (4 perguntas, ferramenta Claude+busca):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</w:rPr>
        <w:t xml:space="preserve">Gazeta citada em 2 de 4 perguntas (50%), sempre em 2ª posição. Folha, Estadão e Oeste: zero em todas.</w:t>
      </w:r>
      <w:r>
        <w:t xml:space="preserve"> No piloto, a Gazeta é o único veículo do grupo competitivo que existe para as respostas de IA.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</w:rPr>
        <w:t xml:space="preserve">Acertos: </w:t>
      </w:r>
      <w:r>
        <w:t xml:space="preserve">tarifaço (matéria própria citada) e Igreja Católica — única generalista brasileira entre os especializados, atrás só do Vatican News. O fosso da Fé vale também no mundo da IA.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</w:rPr>
        <w:t xml:space="preserve">Derrotas e a lição de GEO: </w:t>
      </w:r>
      <w:r>
        <w:t xml:space="preserve">nas perguntas eleitoral e do caso Bolsonaro, venceram páginas-guia evergreen de terceiros — incluindo o Brasil Paralelo, novo competidor de citação no campo. A IA cita guias, não fluxo de notícia. Recomendação nº 1 desta edição: criar o guia eleitoral canônico da Gazeta.</w:t>
      </w:r>
    </w:p>
    <w:p>
      <w:pPr>
        <w:spacing w:after="110" w:line="295"/>
      </w:pPr>
      <w:r>
        <w:rPr>
          <w:i/>
          <w:iCs/>
          <w:color w:val="5A6472"/>
          <w:sz w:val="18"/>
          <w:szCs w:val="18"/>
        </w:rPr>
        <w:t xml:space="preserve">Rodada completa (20 perguntas × ChatGPT/Gemini/Claude) programada para esta semana com a planilha-protocolo já distribuída.</w:t>
      </w:r>
    </w:p>
    <w:p>
      <w:pPr>
        <w:pStyle w:val="Heading1"/>
        <w:spacing w:after="130" w:before="300"/>
      </w:pPr>
      <w:r>
        <w:rPr>
          <w:color w:val="0F2237"/>
        </w:rPr>
        <w:t xml:space="preserve">5. Recomendações da semana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</w:rPr>
        <w:t xml:space="preserve">1 · Guia eleitoral canônico </w:t>
      </w:r>
      <w:r>
        <w:t xml:space="preserve">(“quem são os pré-candidatos 2026”, atualização semanal, autoria visível): a ação de maior retorno identificada pelo protocolo de IA — e a defesa contra o Brasil Paralelo na pergunta mais valiosa do ano.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</w:rPr>
        <w:t xml:space="preserve">2 · Manter o plano de FDS/agendamento </w:t>
      </w:r>
      <w:r>
        <w:t xml:space="preserve">(3 janelas: estoque noturno, grade de sáb/dom, manhã de utilidade). Primeiro teste de resultado: dados de 25–26/07, na Ed. 3.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</w:rPr>
        <w:t xml:space="preserve">3 · Decidir a Linha Discover premium </w:t>
      </w:r>
      <w:r>
        <w:t xml:space="preserve">com o documento já circulado — o desligamento da fábrica da Oeste abre uma janela rara: o espaço de comportamento/espiritualidade no Discover pode estar vagando agora.</w:t>
      </w:r>
    </w:p>
    <w:p>
      <w:pPr>
        <w:pStyle w:val="Heading1"/>
        <w:spacing w:after="130" w:before="300"/>
      </w:pPr>
      <w:r>
        <w:rPr>
          <w:color w:val="0F2237"/>
        </w:rPr>
        <w:t xml:space="preserve">6. Estado do sistema</w:t>
      </w:r>
    </w:p>
    <w:tbl>
      <w:tblPr>
        <w:tblW w:type="dxa" w:w="9400"/>
        <w:tblBorders>
          <w:top w:val="single" w:color="D8D4CB" w:sz="4"/>
          <w:left w:val="single" w:color="D8D4CB" w:sz="4"/>
          <w:bottom w:val="single" w:color="D8D4CB" w:sz="4"/>
          <w:right w:val="single" w:color="D8D4CB" w:sz="4"/>
          <w:insideH w:val="single" w:color="E6E2D9" w:sz="4"/>
          <w:insideV w:val="single" w:color="E6E2D9" w:sz="4"/>
        </w:tblBorders>
      </w:tblPr>
      <w:tblGrid>
        <w:gridCol w:w="3600"/>
        <w:gridCol w:w="2200"/>
        <w:gridCol w:w="3600"/>
      </w:tblGrid>
      <w:tr>
        <w:tc>
          <w:tcPr>
            <w:tcW w:type="dxa" w:w="3600"/>
            <w:shd w:fill="EFEC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0F2237"/>
                <w:sz w:val="19"/>
                <w:szCs w:val="19"/>
              </w:rPr>
              <w:t xml:space="preserve">Fonte / módulo</w:t>
            </w:r>
          </w:p>
        </w:tc>
        <w:tc>
          <w:tcPr>
            <w:tcW w:type="dxa" w:w="2200"/>
            <w:shd w:fill="EFEC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0F2237"/>
                <w:sz w:val="19"/>
                <w:szCs w:val="19"/>
              </w:rPr>
              <w:t xml:space="preserve">Status</w:t>
            </w:r>
          </w:p>
        </w:tc>
        <w:tc>
          <w:tcPr>
            <w:tcW w:type="dxa" w:w="3600"/>
            <w:shd w:fill="EFEC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0F2237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Coletor v2.3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● Publicado hoje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títulos da Gazeta + Antagonista via Google News RSS + encoding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O Antagonista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◐ Estreia esta semana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primeira coleta via Google News RSS em validação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Protocolo Citação em IA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● Operando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piloto rodado; rodada completa programada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Google Trends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◐ Limite de consultas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verificação do tarifaço adiada para a Ed. 3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GA4 + Search Console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○ Aguardando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autorização do admin (axeu@gazetadopovo.com.br)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Acesso autônomo aos dados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○ Pendente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F2237"/>
                <w:sz w:val="19"/>
                <w:szCs w:val="19"/>
              </w:rPr>
              <w:t xml:space="preserve">repo público = compilação sem intervenção manual</w:t>
            </w:r>
          </w:p>
        </w:tc>
      </w:tr>
    </w:tbl>
    <w:p>
      <w:pPr>
        <w:pStyle w:val="Heading1"/>
        <w:spacing w:after="130" w:before="300"/>
      </w:pPr>
      <w:r>
        <w:rPr>
          <w:color w:val="0F2237"/>
        </w:rPr>
        <w:t xml:space="preserve">7. Previsões testáveis (conferimos na Edição nº 3)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</w:rPr>
        <w:t xml:space="preserve">Oeste: </w:t>
      </w:r>
      <w:r>
        <w:t xml:space="preserve">a fábrica não volta ao sitemap-news nos próximos 7 dias — e o share social dela (medido no Buzzmonitor/redes) deve cair junto.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</w:rPr>
        <w:t xml:space="preserve">Estadão: </w:t>
      </w:r>
      <w:r>
        <w:t xml:space="preserve">sustenta a liderança de volume (300+/dia útil) — é estrutural, não pico.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</w:rPr>
        <w:t xml:space="preserve">Gazeta no FDS: </w:t>
      </w:r>
      <w:r>
        <w:t xml:space="preserve">se o plano de agendamento tiver começado, sáb/dom 25–26 supera 80 artigos/dia (vs 56 da linha de base).</w:t>
      </w:r>
    </w:p>
    <w:p>
      <w:pPr>
        <w:spacing w:after="0" w:before="160"/>
      </w:pPr>
    </w:p>
    <w:p>
      <w:r>
        <w:rPr>
          <w:i/>
          <w:iCs/>
          <w:color w:val="5A6472"/>
          <w:sz w:val="17"/>
          <w:szCs w:val="17"/>
        </w:rPr>
        <w:t xml:space="preserve">Gerado pelo Cérebro Gazeta em 27/07/2026 · dados: coletor próprio (17–24/07, 4 veículos + Estadão desde 21/07), protocolo de citação em IA, dados públicos de SEO · anexos interativos: Radar de Concorrência · Quem Pauta Quem · Territórios &amp; Linguagem</w:t>
      </w:r>
    </w:p>
    <w:sectPr>
      <w:pgSz w:w="11906" w:h="16838" w:orient="portrait"/>
      <w:pgMar w:top="1150" w:right="1250" w:bottom="115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430"/>
        <w:sz w:val="21"/>
        <w:szCs w:val="21"/>
      </w:rPr>
    </w:rPrDefault>
    <w:pPrDefault>
      <w:pPr>
        <w:spacing w:line="29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00"/>
      <w:outlineLvl w:val="0"/>
    </w:pPr>
    <w:rPr>
      <w:rFonts w:ascii="Calibri" w:cs="Calibri" w:eastAsia="Calibri" w:hAnsi="Calibri"/>
      <w:b/>
      <w:bCs/>
      <w:color w:val="0F2237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2026-07-27T14:27:04.467Z</dcterms:created>
  <dcterms:modified xsi:type="dcterms:W3CDTF">2026-07-27T14:27:04.492Z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