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5A9BD" w14:textId="2FD123BD" w:rsidR="00F401DD" w:rsidRDefault="002E1161">
      <w:r>
        <w:t>One observable trend I see is that the age ranges of “&lt;10” had the most purchases of all the age groups of the video game which is maybe because that is the audience it appeals the most to. I also noticed that males are the ones who purchase the game the most of all the genders.</w:t>
      </w:r>
      <w:r w:rsidR="00CB5ABB">
        <w:t xml:space="preserve"> The age range of 20-24 has the highest “Total Purchase Value” than all of the other age groups.</w:t>
      </w:r>
    </w:p>
    <w:sectPr w:rsidR="00F4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61"/>
    <w:rsid w:val="002E1161"/>
    <w:rsid w:val="00CB5ABB"/>
    <w:rsid w:val="00F4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E613"/>
  <w15:chartTrackingRefBased/>
  <w15:docId w15:val="{0C88F2E5-B824-4EDE-A1AA-5C560DA3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Francois</dc:creator>
  <cp:keywords/>
  <dc:description/>
  <cp:lastModifiedBy>Armand Francois</cp:lastModifiedBy>
  <cp:revision>2</cp:revision>
  <dcterms:created xsi:type="dcterms:W3CDTF">2021-01-28T06:21:00Z</dcterms:created>
  <dcterms:modified xsi:type="dcterms:W3CDTF">2021-01-28T06:29:00Z</dcterms:modified>
</cp:coreProperties>
</file>