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9B4256" w:rsidP="009B4256">
      <w:pPr>
        <w:pStyle w:val="Heading1"/>
      </w:pPr>
      <w:r>
        <w:t>Change tracking for Canada Creative Industries project</w:t>
      </w:r>
    </w:p>
    <w:p w:rsidR="009B4256" w:rsidRDefault="009B4256">
      <w:r>
        <w:t xml:space="preserve">This document aims to keep track of the changes project members make.  It </w:t>
      </w:r>
      <w:proofErr w:type="gramStart"/>
      <w:r>
        <w:t>is intended</w:t>
      </w:r>
      <w:proofErr w:type="gramEnd"/>
      <w:r>
        <w:t xml:space="preserve"> to be ultra-simple, but may evolve as the project proceeds,</w:t>
      </w:r>
    </w:p>
    <w:p w:rsidR="009B4256" w:rsidRDefault="009B4256">
      <w:r>
        <w:t>There are three tables: intended changes, actual changes, and ‘matters arising’</w:t>
      </w:r>
      <w:r w:rsidR="00296321">
        <w:t xml:space="preserve">. Each Change </w:t>
      </w:r>
      <w:proofErr w:type="gramStart"/>
      <w:r w:rsidR="00296321">
        <w:t>should be numbered</w:t>
      </w:r>
      <w:proofErr w:type="gramEnd"/>
      <w:r w:rsidR="00296321">
        <w:t xml:space="preserve"> and the numbering should be hierarchical. So if for example a table is to be changed by altering the length of two fields, there will be three changes numbered 1 (change the table), 1.1 (change the first field) and 1.2 (change the second field)</w:t>
      </w:r>
    </w:p>
    <w:p w:rsidR="009B4256" w:rsidRDefault="009B4256" w:rsidP="009B4256">
      <w:pPr>
        <w:pStyle w:val="Heading1"/>
      </w:pPr>
      <w:r>
        <w:t>Intended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7"/>
        <w:gridCol w:w="1574"/>
        <w:gridCol w:w="5828"/>
        <w:gridCol w:w="5891"/>
      </w:tblGrid>
      <w:tr w:rsidR="002D6BD5" w:rsidRPr="00487A75" w:rsidTr="002D6BD5">
        <w:tc>
          <w:tcPr>
            <w:tcW w:w="381" w:type="pct"/>
          </w:tcPr>
          <w:p w:rsidR="00296321" w:rsidRPr="009B4256" w:rsidRDefault="00296321" w:rsidP="00C661BA">
            <w:r>
              <w:t>Item Number</w:t>
            </w:r>
          </w:p>
        </w:tc>
        <w:tc>
          <w:tcPr>
            <w:tcW w:w="547" w:type="pct"/>
          </w:tcPr>
          <w:p w:rsidR="00296321" w:rsidRPr="009B4256" w:rsidRDefault="00296321" w:rsidP="00C661BA">
            <w:r w:rsidRPr="009B4256">
              <w:t>Date proposed</w:t>
            </w:r>
          </w:p>
        </w:tc>
        <w:tc>
          <w:tcPr>
            <w:tcW w:w="2025" w:type="pct"/>
          </w:tcPr>
          <w:p w:rsidR="00296321" w:rsidRDefault="00296321" w:rsidP="009B4256">
            <w:r>
              <w:t>Change proposed</w:t>
            </w:r>
          </w:p>
        </w:tc>
        <w:tc>
          <w:tcPr>
            <w:tcW w:w="2047" w:type="pct"/>
          </w:tcPr>
          <w:p w:rsidR="00296321" w:rsidRPr="009B4256" w:rsidRDefault="00296321" w:rsidP="00C661BA">
            <w:pPr>
              <w:rPr>
                <w:lang w:val="fr-FR"/>
              </w:rPr>
            </w:pPr>
            <w:proofErr w:type="spellStart"/>
            <w:r w:rsidRPr="009B4256">
              <w:rPr>
                <w:lang w:val="fr-FR"/>
              </w:rPr>
              <w:t>Additional</w:t>
            </w:r>
            <w:proofErr w:type="spellEnd"/>
            <w:r w:rsidRPr="009B4256">
              <w:rPr>
                <w:lang w:val="fr-FR"/>
              </w:rPr>
              <w:t xml:space="preserve"> Information (Notes, </w:t>
            </w:r>
            <w:proofErr w:type="spellStart"/>
            <w:r w:rsidRPr="009B4256">
              <w:rPr>
                <w:lang w:val="fr-FR"/>
              </w:rPr>
              <w:t>rationale</w:t>
            </w:r>
            <w:proofErr w:type="spellEnd"/>
            <w:r w:rsidRPr="009B4256">
              <w:rPr>
                <w:lang w:val="fr-FR"/>
              </w:rPr>
              <w:t xml:space="preserve">, </w:t>
            </w:r>
            <w:proofErr w:type="spellStart"/>
            <w:r w:rsidRPr="009B4256">
              <w:rPr>
                <w:lang w:val="fr-FR"/>
              </w:rPr>
              <w:t>etc</w:t>
            </w:r>
            <w:proofErr w:type="spellEnd"/>
            <w:r w:rsidRPr="009B4256">
              <w:rPr>
                <w:lang w:val="fr-FR"/>
              </w:rPr>
              <w:t>)</w:t>
            </w:r>
          </w:p>
        </w:tc>
      </w:tr>
      <w:tr w:rsidR="003F4213" w:rsidRPr="009B4256" w:rsidTr="002D6BD5">
        <w:tc>
          <w:tcPr>
            <w:tcW w:w="381" w:type="pct"/>
          </w:tcPr>
          <w:p w:rsidR="003F4213" w:rsidRDefault="003F4213" w:rsidP="00C661BA">
            <w:r>
              <w:t>1</w:t>
            </w:r>
          </w:p>
        </w:tc>
        <w:tc>
          <w:tcPr>
            <w:tcW w:w="547" w:type="pct"/>
          </w:tcPr>
          <w:p w:rsidR="003F4213" w:rsidRDefault="003F4213" w:rsidP="00C661BA">
            <w:r>
              <w:t>29 July</w:t>
            </w:r>
          </w:p>
        </w:tc>
        <w:tc>
          <w:tcPr>
            <w:tcW w:w="2025" w:type="pct"/>
          </w:tcPr>
          <w:p w:rsidR="003F4213" w:rsidRDefault="003F4213" w:rsidP="004B0D0A">
            <w:r>
              <w:t>Change the coding system</w:t>
            </w:r>
          </w:p>
        </w:tc>
        <w:tc>
          <w:tcPr>
            <w:tcW w:w="2047" w:type="pct"/>
          </w:tcPr>
          <w:p w:rsidR="003F4213" w:rsidRPr="009B4256" w:rsidRDefault="003F4213" w:rsidP="001C579F"/>
        </w:tc>
      </w:tr>
      <w:tr w:rsidR="002D6BD5" w:rsidRPr="009B4256" w:rsidTr="002D6BD5">
        <w:tc>
          <w:tcPr>
            <w:tcW w:w="381" w:type="pct"/>
          </w:tcPr>
          <w:p w:rsidR="00296321" w:rsidRDefault="00296321" w:rsidP="00C661BA">
            <w:r>
              <w:t>1</w:t>
            </w:r>
            <w:r w:rsidR="003F4213">
              <w:t>.1</w:t>
            </w:r>
          </w:p>
        </w:tc>
        <w:tc>
          <w:tcPr>
            <w:tcW w:w="547" w:type="pct"/>
          </w:tcPr>
          <w:p w:rsidR="00296321" w:rsidRPr="009B4256" w:rsidRDefault="00296321" w:rsidP="00C661BA">
            <w:r>
              <w:t>29 July</w:t>
            </w:r>
          </w:p>
        </w:tc>
        <w:tc>
          <w:tcPr>
            <w:tcW w:w="2025" w:type="pct"/>
          </w:tcPr>
          <w:p w:rsidR="00296321" w:rsidRPr="009B4256" w:rsidRDefault="00913F79" w:rsidP="004B0D0A">
            <w:r>
              <w:t>Spe</w:t>
            </w:r>
            <w:r w:rsidR="00ED24DD">
              <w:t>c</w:t>
            </w:r>
            <w:r>
              <w:t>if</w:t>
            </w:r>
            <w:r w:rsidR="00ED24DD">
              <w:t>y</w:t>
            </w:r>
            <w:r w:rsidR="004B0D0A">
              <w:t xml:space="preserve"> a</w:t>
            </w:r>
            <w:r w:rsidR="00296321">
              <w:t xml:space="preserve"> </w:t>
            </w:r>
            <w:r w:rsidR="004B0D0A">
              <w:t xml:space="preserve">unified </w:t>
            </w:r>
            <w:r w:rsidR="00296321">
              <w:t>coding system combining IOICC and NAICS</w:t>
            </w:r>
            <w:r>
              <w:t xml:space="preserve"> codes</w:t>
            </w:r>
          </w:p>
        </w:tc>
        <w:tc>
          <w:tcPr>
            <w:tcW w:w="2047" w:type="pct"/>
          </w:tcPr>
          <w:p w:rsidR="00296321" w:rsidRPr="009B4256" w:rsidRDefault="00296321" w:rsidP="001C579F"/>
        </w:tc>
      </w:tr>
      <w:tr w:rsidR="002D6BD5" w:rsidRPr="009B4256" w:rsidTr="002D6BD5">
        <w:tc>
          <w:tcPr>
            <w:tcW w:w="381" w:type="pct"/>
          </w:tcPr>
          <w:p w:rsidR="00296321" w:rsidRPr="009B4256" w:rsidRDefault="003F4213" w:rsidP="00C661BA">
            <w:r>
              <w:t>1.</w:t>
            </w:r>
            <w:r w:rsidR="00913F79">
              <w:t>2</w:t>
            </w:r>
          </w:p>
        </w:tc>
        <w:tc>
          <w:tcPr>
            <w:tcW w:w="547" w:type="pct"/>
          </w:tcPr>
          <w:p w:rsidR="00296321" w:rsidRPr="009B4256" w:rsidRDefault="00913F79" w:rsidP="00C661BA">
            <w:r>
              <w:t>29 July</w:t>
            </w:r>
          </w:p>
        </w:tc>
        <w:tc>
          <w:tcPr>
            <w:tcW w:w="2025" w:type="pct"/>
          </w:tcPr>
          <w:p w:rsidR="00296321" w:rsidRPr="009B4256" w:rsidRDefault="00913F79" w:rsidP="002D6BD5">
            <w:r>
              <w:t xml:space="preserve">Modify </w:t>
            </w:r>
            <w:r w:rsidR="002D6BD5">
              <w:t>GDP Data</w:t>
            </w:r>
            <w:r>
              <w:t xml:space="preserve"> to encode using the new specification</w:t>
            </w:r>
          </w:p>
        </w:tc>
        <w:tc>
          <w:tcPr>
            <w:tcW w:w="2047" w:type="pct"/>
          </w:tcPr>
          <w:p w:rsidR="00021747" w:rsidRPr="009B4256" w:rsidRDefault="00913F79" w:rsidP="002D6BD5">
            <w:r>
              <w:t xml:space="preserve">We only modify </w:t>
            </w:r>
            <w:r w:rsidR="002D6BD5">
              <w:t>one file</w:t>
            </w:r>
            <w:r>
              <w:t xml:space="preserve"> initially, to verify the dimension table</w:t>
            </w:r>
          </w:p>
        </w:tc>
      </w:tr>
      <w:tr w:rsidR="00913F79" w:rsidRPr="009B4256" w:rsidTr="002D6BD5">
        <w:tc>
          <w:tcPr>
            <w:tcW w:w="381" w:type="pct"/>
          </w:tcPr>
          <w:p w:rsidR="001C579F" w:rsidRPr="009B4256" w:rsidRDefault="003F4213" w:rsidP="001C579F">
            <w:r>
              <w:t>1.3</w:t>
            </w:r>
          </w:p>
        </w:tc>
        <w:tc>
          <w:tcPr>
            <w:tcW w:w="547" w:type="pct"/>
          </w:tcPr>
          <w:p w:rsidR="001C579F" w:rsidRPr="009B4256" w:rsidRDefault="00487A75" w:rsidP="001C579F">
            <w:r>
              <w:t>29 July</w:t>
            </w:r>
          </w:p>
        </w:tc>
        <w:tc>
          <w:tcPr>
            <w:tcW w:w="2025" w:type="pct"/>
          </w:tcPr>
          <w:p w:rsidR="001C579F" w:rsidRPr="009B4256" w:rsidRDefault="003F4213" w:rsidP="003F4213">
            <w:r>
              <w:t>Create ‘</w:t>
            </w:r>
            <w:proofErr w:type="spellStart"/>
            <w:r w:rsidR="00913F79">
              <w:t>NewIndustry</w:t>
            </w:r>
            <w:proofErr w:type="spellEnd"/>
            <w:r>
              <w:t xml:space="preserve">’ dimension worksheet </w:t>
            </w:r>
          </w:p>
        </w:tc>
        <w:tc>
          <w:tcPr>
            <w:tcW w:w="2047" w:type="pct"/>
          </w:tcPr>
          <w:p w:rsidR="001C579F" w:rsidRPr="005523E7" w:rsidRDefault="003F4213" w:rsidP="001C579F">
            <w:pPr>
              <w:rPr>
                <w:lang w:val="en-CA"/>
              </w:rPr>
            </w:pPr>
            <w:r>
              <w:rPr>
                <w:lang w:val="en-CA"/>
              </w:rPr>
              <w:t>Create with the name ‘</w:t>
            </w:r>
            <w:proofErr w:type="spellStart"/>
            <w:r>
              <w:rPr>
                <w:lang w:val="en-CA"/>
              </w:rPr>
              <w:t>newIndustry</w:t>
            </w:r>
            <w:proofErr w:type="spellEnd"/>
            <w:r>
              <w:rPr>
                <w:lang w:val="en-CA"/>
              </w:rPr>
              <w:t xml:space="preserve">’ and then change the name when </w:t>
            </w:r>
            <w:r w:rsidR="00CD19F3">
              <w:rPr>
                <w:lang w:val="en-CA"/>
              </w:rPr>
              <w:t xml:space="preserve">this is tested and </w:t>
            </w:r>
            <w:r>
              <w:rPr>
                <w:lang w:val="en-CA"/>
              </w:rPr>
              <w:t>working.</w:t>
            </w:r>
          </w:p>
        </w:tc>
      </w:tr>
      <w:tr w:rsidR="00913F79" w:rsidRPr="009B4256" w:rsidTr="002D6BD5">
        <w:tc>
          <w:tcPr>
            <w:tcW w:w="381" w:type="pct"/>
          </w:tcPr>
          <w:p w:rsidR="001C579F" w:rsidRPr="009B4256" w:rsidRDefault="00CD19F3" w:rsidP="001C579F">
            <w:r>
              <w:t>1.4</w:t>
            </w:r>
          </w:p>
        </w:tc>
        <w:tc>
          <w:tcPr>
            <w:tcW w:w="547" w:type="pct"/>
          </w:tcPr>
          <w:p w:rsidR="001C579F" w:rsidRPr="009B4256" w:rsidRDefault="00487A75" w:rsidP="001C579F">
            <w:r>
              <w:t>29 July</w:t>
            </w:r>
          </w:p>
        </w:tc>
        <w:tc>
          <w:tcPr>
            <w:tcW w:w="2025" w:type="pct"/>
          </w:tcPr>
          <w:p w:rsidR="001C579F" w:rsidRPr="009B4256" w:rsidRDefault="00CD19F3" w:rsidP="00CD19F3">
            <w:r>
              <w:t>Create a project branch to load the data and the new industry dimension</w:t>
            </w:r>
          </w:p>
        </w:tc>
        <w:tc>
          <w:tcPr>
            <w:tcW w:w="2047" w:type="pct"/>
          </w:tcPr>
          <w:p w:rsidR="001C579F" w:rsidRPr="009B4256" w:rsidRDefault="001C579F" w:rsidP="001C579F"/>
        </w:tc>
      </w:tr>
      <w:tr w:rsidR="00487A75" w:rsidRPr="009B4256" w:rsidTr="002D6BD5">
        <w:tc>
          <w:tcPr>
            <w:tcW w:w="381" w:type="pct"/>
          </w:tcPr>
          <w:p w:rsidR="00487A75" w:rsidRDefault="00487A75" w:rsidP="0079682A">
            <w:r>
              <w:t>1.5</w:t>
            </w:r>
          </w:p>
        </w:tc>
        <w:tc>
          <w:tcPr>
            <w:tcW w:w="547" w:type="pct"/>
          </w:tcPr>
          <w:p w:rsidR="00487A75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487A75" w:rsidRDefault="00487A75" w:rsidP="0079682A">
            <w:r>
              <w:t>Create a new worksheet ‘IOICC splitter’</w:t>
            </w:r>
          </w:p>
        </w:tc>
        <w:tc>
          <w:tcPr>
            <w:tcW w:w="2047" w:type="pct"/>
          </w:tcPr>
          <w:p w:rsidR="00487A75" w:rsidRPr="005523E7" w:rsidRDefault="00487A75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will split out the creative codes from the GNAICS data before these are entered into the Fact table</w:t>
            </w:r>
          </w:p>
        </w:tc>
      </w:tr>
      <w:tr w:rsidR="0079682A" w:rsidRPr="009B4256" w:rsidTr="002D6BD5">
        <w:tc>
          <w:tcPr>
            <w:tcW w:w="381" w:type="pct"/>
          </w:tcPr>
          <w:p w:rsidR="0079682A" w:rsidRPr="009B4256" w:rsidRDefault="00487A75" w:rsidP="0079682A">
            <w:r>
              <w:t>1.6</w:t>
            </w:r>
          </w:p>
        </w:tc>
        <w:tc>
          <w:tcPr>
            <w:tcW w:w="547" w:type="pct"/>
          </w:tcPr>
          <w:p w:rsidR="0079682A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79682A" w:rsidRPr="009B4256" w:rsidRDefault="0079682A" w:rsidP="0079682A">
            <w:r>
              <w:t>LFS data</w:t>
            </w:r>
          </w:p>
        </w:tc>
        <w:tc>
          <w:tcPr>
            <w:tcW w:w="2047" w:type="pct"/>
          </w:tcPr>
          <w:p w:rsidR="0079682A" w:rsidRPr="005523E7" w:rsidRDefault="0079682A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79682A" w:rsidRPr="009B4256" w:rsidTr="002D6BD5">
        <w:tc>
          <w:tcPr>
            <w:tcW w:w="381" w:type="pct"/>
          </w:tcPr>
          <w:p w:rsidR="0079682A" w:rsidRDefault="00FF55CF" w:rsidP="0079682A">
            <w:r>
              <w:t>1.3.1`</w:t>
            </w:r>
          </w:p>
        </w:tc>
        <w:tc>
          <w:tcPr>
            <w:tcW w:w="547" w:type="pct"/>
          </w:tcPr>
          <w:p w:rsidR="0079682A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79682A" w:rsidRDefault="00FF55CF" w:rsidP="0079682A">
            <w:r>
              <w:t xml:space="preserve">Change Mapping.xls to an </w:t>
            </w:r>
            <w:proofErr w:type="spellStart"/>
            <w:r>
              <w:t>xlsx</w:t>
            </w:r>
            <w:proofErr w:type="spellEnd"/>
            <w:r>
              <w:t xml:space="preserve"> File</w:t>
            </w:r>
          </w:p>
        </w:tc>
        <w:tc>
          <w:tcPr>
            <w:tcW w:w="2047" w:type="pct"/>
          </w:tcPr>
          <w:p w:rsidR="0079682A" w:rsidRPr="005523E7" w:rsidRDefault="0079682A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79682A" w:rsidRPr="009B4256" w:rsidTr="002D6BD5">
        <w:tc>
          <w:tcPr>
            <w:tcW w:w="381" w:type="pct"/>
          </w:tcPr>
          <w:p w:rsidR="0079682A" w:rsidRDefault="00FF55CF" w:rsidP="0079682A">
            <w:r>
              <w:t>1.3.2</w:t>
            </w:r>
          </w:p>
        </w:tc>
        <w:tc>
          <w:tcPr>
            <w:tcW w:w="547" w:type="pct"/>
          </w:tcPr>
          <w:p w:rsidR="0079682A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79682A" w:rsidRDefault="00FF55CF" w:rsidP="00FF55CF">
            <w:r>
              <w:t xml:space="preserve">Edit OLTP Tables and Views to accept the new industry dimension </w:t>
            </w:r>
          </w:p>
        </w:tc>
        <w:tc>
          <w:tcPr>
            <w:tcW w:w="2047" w:type="pct"/>
          </w:tcPr>
          <w:p w:rsidR="0079682A" w:rsidRPr="005523E7" w:rsidRDefault="0079682A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>
            <w:r>
              <w:t>1.3.3</w:t>
            </w:r>
          </w:p>
        </w:tc>
        <w:tc>
          <w:tcPr>
            <w:tcW w:w="547" w:type="pct"/>
          </w:tcPr>
          <w:p w:rsidR="00FF55CF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FF55CF" w:rsidRDefault="00FF55CF" w:rsidP="00FF55CF">
            <w:r>
              <w:t xml:space="preserve">Load the new industry dimension from an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Initially, just create a new connection manager then migrate all the dimensions one by one</w:t>
            </w:r>
          </w:p>
        </w:tc>
      </w:tr>
      <w:tr w:rsidR="00FF55CF" w:rsidRPr="009B4256" w:rsidTr="002D6BD5">
        <w:tc>
          <w:tcPr>
            <w:tcW w:w="381" w:type="pct"/>
          </w:tcPr>
          <w:p w:rsidR="00FF55CF" w:rsidRDefault="00487A75" w:rsidP="0079682A">
            <w:r>
              <w:t>1.7</w:t>
            </w:r>
          </w:p>
        </w:tc>
        <w:tc>
          <w:tcPr>
            <w:tcW w:w="547" w:type="pct"/>
          </w:tcPr>
          <w:p w:rsidR="00FF55CF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FF55CF" w:rsidRDefault="00FF55CF" w:rsidP="00FF55CF">
            <w:r>
              <w:t>Load the new GDP data into ‘new fact’ table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Later, switch out the old fact table</w:t>
            </w: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/>
        </w:tc>
        <w:tc>
          <w:tcPr>
            <w:tcW w:w="547" w:type="pct"/>
          </w:tcPr>
          <w:p w:rsidR="00FF55CF" w:rsidRPr="009B4256" w:rsidRDefault="00FF55CF" w:rsidP="0079682A"/>
        </w:tc>
        <w:tc>
          <w:tcPr>
            <w:tcW w:w="2025" w:type="pct"/>
          </w:tcPr>
          <w:p w:rsidR="00FF55CF" w:rsidRDefault="00FF55CF" w:rsidP="00FF55CF">
            <w:r>
              <w:t>Create a new Industries query and verify it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/>
        </w:tc>
        <w:tc>
          <w:tcPr>
            <w:tcW w:w="547" w:type="pct"/>
          </w:tcPr>
          <w:p w:rsidR="00FF55CF" w:rsidRPr="009B4256" w:rsidRDefault="00FF55CF" w:rsidP="0079682A"/>
        </w:tc>
        <w:tc>
          <w:tcPr>
            <w:tcW w:w="2025" w:type="pct"/>
          </w:tcPr>
          <w:p w:rsidR="00FF55CF" w:rsidRDefault="00FF55CF" w:rsidP="00FF55CF">
            <w:r>
              <w:t xml:space="preserve">Load the other dimensions from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/>
        </w:tc>
        <w:tc>
          <w:tcPr>
            <w:tcW w:w="547" w:type="pct"/>
          </w:tcPr>
          <w:p w:rsidR="00FF55CF" w:rsidRPr="009B4256" w:rsidRDefault="00FF55CF" w:rsidP="0079682A"/>
        </w:tc>
        <w:tc>
          <w:tcPr>
            <w:tcW w:w="2025" w:type="pct"/>
          </w:tcPr>
          <w:p w:rsidR="00FF55CF" w:rsidRDefault="00FF55CF" w:rsidP="00FF55CF">
            <w:r>
              <w:t>Switch out the old fact table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9B4256" w:rsidRDefault="009B4256" w:rsidP="009B4256"/>
    <w:p w:rsidR="006F5BDE" w:rsidRPr="009B4256" w:rsidRDefault="006F5BDE" w:rsidP="009B4256"/>
    <w:p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856" w:type="pct"/>
        <w:tblLook w:val="04A0" w:firstRow="1" w:lastRow="0" w:firstColumn="1" w:lastColumn="0" w:noHBand="0" w:noVBand="1"/>
      </w:tblPr>
      <w:tblGrid>
        <w:gridCol w:w="1978"/>
        <w:gridCol w:w="1416"/>
        <w:gridCol w:w="4396"/>
        <w:gridCol w:w="4112"/>
        <w:gridCol w:w="2488"/>
        <w:gridCol w:w="1230"/>
        <w:gridCol w:w="1234"/>
      </w:tblGrid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9B4256">
            <w:r w:rsidRPr="009B4256">
              <w:t xml:space="preserve">Date </w:t>
            </w:r>
            <w:r>
              <w:t>and time</w:t>
            </w:r>
          </w:p>
        </w:tc>
        <w:tc>
          <w:tcPr>
            <w:tcW w:w="420" w:type="pct"/>
          </w:tcPr>
          <w:p w:rsidR="00487A75" w:rsidRDefault="00487A75" w:rsidP="00EF4F24">
            <w:r>
              <w:t>Reference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Item affected</w:t>
            </w:r>
          </w:p>
        </w:tc>
        <w:tc>
          <w:tcPr>
            <w:tcW w:w="1220" w:type="pct"/>
          </w:tcPr>
          <w:p w:rsidR="00487A75" w:rsidRPr="009B4256" w:rsidRDefault="00487A75" w:rsidP="00EF4F24">
            <w:r w:rsidRPr="009B4256">
              <w:t>Detail</w:t>
            </w:r>
          </w:p>
        </w:tc>
        <w:tc>
          <w:tcPr>
            <w:tcW w:w="738" w:type="pct"/>
          </w:tcPr>
          <w:p w:rsidR="00487A75" w:rsidRPr="009B4256" w:rsidRDefault="00487A75" w:rsidP="00EF4F24">
            <w:r>
              <w:t>Result</w:t>
            </w:r>
          </w:p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Default="00487A75" w:rsidP="001A26BF"/>
        </w:tc>
        <w:tc>
          <w:tcPr>
            <w:tcW w:w="1304" w:type="pct"/>
          </w:tcPr>
          <w:p w:rsidR="00487A75" w:rsidRPr="009B4256" w:rsidRDefault="00487A75" w:rsidP="001A26BF">
            <w:r>
              <w:t>DOCUMENTS</w:t>
            </w:r>
            <w:r w:rsidRPr="001A26BF">
              <w:t>\</w:t>
            </w:r>
            <w:r>
              <w:t>Uniform Coding.docx</w:t>
            </w:r>
          </w:p>
        </w:tc>
        <w:tc>
          <w:tcPr>
            <w:tcW w:w="1220" w:type="pct"/>
          </w:tcPr>
          <w:p w:rsidR="00487A75" w:rsidRPr="009B4256" w:rsidRDefault="00487A75" w:rsidP="00EF4F24">
            <w:r>
              <w:t>A file describing the coding system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Pr="001A26BF" w:rsidRDefault="00487A75" w:rsidP="00EF4F24"/>
        </w:tc>
        <w:tc>
          <w:tcPr>
            <w:tcW w:w="1304" w:type="pct"/>
          </w:tcPr>
          <w:p w:rsidR="00487A75" w:rsidRPr="009B4256" w:rsidRDefault="00487A75" w:rsidP="00EF4F24">
            <w:r w:rsidRPr="001A26BF">
              <w:t>SOURCE DATA\Uniform Coding System\</w:t>
            </w:r>
            <w:r w:rsidRPr="002D6BD5">
              <w:t>GDP deconstructed IOICC codes</w:t>
            </w:r>
            <w:r>
              <w:t>.xlsx</w:t>
            </w:r>
          </w:p>
        </w:tc>
        <w:tc>
          <w:tcPr>
            <w:tcW w:w="1220" w:type="pct"/>
          </w:tcPr>
          <w:p w:rsidR="00487A75" w:rsidRPr="009B4256" w:rsidRDefault="00487A75" w:rsidP="001A26BF">
            <w:r>
              <w:t>A hierarchy constructed from GDP data and NAICSALL in MAPPING.xlsx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2D6BD5">
            <w:r>
              <w:t>29/07/2020 18:06</w:t>
            </w:r>
          </w:p>
        </w:tc>
        <w:tc>
          <w:tcPr>
            <w:tcW w:w="420" w:type="pct"/>
          </w:tcPr>
          <w:p w:rsidR="00487A75" w:rsidRDefault="00487A75" w:rsidP="00EF4F24"/>
        </w:tc>
        <w:tc>
          <w:tcPr>
            <w:tcW w:w="1304" w:type="pct"/>
          </w:tcPr>
          <w:p w:rsidR="00487A75" w:rsidRPr="009B4256" w:rsidRDefault="00487A75" w:rsidP="00EF4F24">
            <w:r>
              <w:t>SOURCE DATA</w:t>
            </w:r>
            <w:r w:rsidRPr="001A26BF">
              <w:t>\</w:t>
            </w:r>
            <w:r w:rsidRPr="002D6BD5">
              <w:t>GDP 2020.xlsx</w:t>
            </w:r>
          </w:p>
        </w:tc>
        <w:tc>
          <w:tcPr>
            <w:tcW w:w="1220" w:type="pct"/>
          </w:tcPr>
          <w:p w:rsidR="00487A75" w:rsidRPr="00EA2C47" w:rsidRDefault="00487A75" w:rsidP="00EF4F2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t xml:space="preserve">Derived from download of </w:t>
            </w:r>
            <w:r>
              <w:rPr>
                <w:rFonts w:ascii="Calibri" w:hAnsi="Calibri" w:cs="Calibri"/>
                <w:color w:val="000000"/>
                <w:szCs w:val="22"/>
              </w:rPr>
              <w:t>Table 36100402 (download choice 'all data'). Contains all indicators and data from 1997 to 2019.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EA2C47" w:rsidRPr="009B4256" w:rsidTr="00EA2C47"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hierarchy</w:t>
            </w:r>
          </w:p>
        </w:tc>
        <w:tc>
          <w:tcPr>
            <w:tcW w:w="1220" w:type="pct"/>
          </w:tcPr>
          <w:p w:rsidR="00EA2C47" w:rsidRDefault="00EA2C47" w:rsidP="00EA2C47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Recoded with PNAICS code</w:t>
            </w:r>
          </w:p>
          <w:p w:rsidR="00EA2C47" w:rsidRDefault="00EA2C47" w:rsidP="00EA2C47">
            <w:r>
              <w:rPr>
                <w:rFonts w:ascii="Calibri" w:hAnsi="Calibri" w:cs="Calibri"/>
                <w:color w:val="000000"/>
                <w:szCs w:val="22"/>
              </w:rPr>
              <w:t>Split codes added</w:t>
            </w:r>
          </w:p>
        </w:tc>
        <w:tc>
          <w:tcPr>
            <w:tcW w:w="738" w:type="pct"/>
          </w:tcPr>
          <w:p w:rsidR="00EA2C47" w:rsidRDefault="00EA2C47" w:rsidP="00EA2C47"/>
        </w:tc>
        <w:tc>
          <w:tcPr>
            <w:tcW w:w="365" w:type="pct"/>
          </w:tcPr>
          <w:p w:rsidR="00EA2C47" w:rsidRPr="009B4256" w:rsidRDefault="00EA2C47" w:rsidP="00EA2C47"/>
        </w:tc>
        <w:tc>
          <w:tcPr>
            <w:tcW w:w="366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Splitter</w:t>
            </w:r>
          </w:p>
        </w:tc>
        <w:tc>
          <w:tcPr>
            <w:tcW w:w="1220" w:type="pct"/>
          </w:tcPr>
          <w:p w:rsidR="00EA2C47" w:rsidRDefault="00EA2C47" w:rsidP="00EA2C47">
            <w:r>
              <w:t>New version of IOICC to ANAICS</w:t>
            </w:r>
          </w:p>
          <w:p w:rsidR="00EA2C47" w:rsidRPr="009B4256" w:rsidRDefault="00EA2C47" w:rsidP="00EA2C47">
            <w:r>
              <w:t>Works differently</w:t>
            </w:r>
          </w:p>
        </w:tc>
        <w:tc>
          <w:tcPr>
            <w:tcW w:w="738" w:type="pct"/>
          </w:tcPr>
          <w:p w:rsidR="00EA2C47" w:rsidRDefault="00EA2C47" w:rsidP="00EA2C47">
            <w:r>
              <w:t xml:space="preserve">Need to revise the view </w:t>
            </w:r>
          </w:p>
          <w:p w:rsidR="00EA2C47" w:rsidRPr="009B4256" w:rsidRDefault="00EA2C47" w:rsidP="00EA2C47">
            <w:r>
              <w:t>Revisit the split factors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proofErr w:type="spellStart"/>
            <w:r>
              <w:t>dimNewIndustries</w:t>
            </w:r>
            <w:proofErr w:type="spellEnd"/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Pr="009B4256" w:rsidRDefault="00EA2C47" w:rsidP="00EA2C47">
            <w:r>
              <w:t>Data stage complete; commit and push to origin</w:t>
            </w:r>
          </w:p>
        </w:tc>
        <w:tc>
          <w:tcPr>
            <w:tcW w:w="1220" w:type="pct"/>
          </w:tcPr>
          <w:p w:rsidR="00EA2C47" w:rsidRPr="009B4256" w:rsidRDefault="00EA2C47" w:rsidP="00EA2C47">
            <w:bookmarkStart w:id="0" w:name="_GoBack"/>
            <w:bookmarkEnd w:id="0"/>
          </w:p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/>
        </w:tc>
        <w:tc>
          <w:tcPr>
            <w:tcW w:w="420" w:type="pct"/>
          </w:tcPr>
          <w:p w:rsidR="00EA2C47" w:rsidRPr="009B4256" w:rsidRDefault="00EA2C47" w:rsidP="00EA2C47"/>
        </w:tc>
        <w:tc>
          <w:tcPr>
            <w:tcW w:w="1304" w:type="pct"/>
          </w:tcPr>
          <w:p w:rsidR="00EA2C47" w:rsidRPr="009B4256" w:rsidRDefault="00EA2C47" w:rsidP="00EA2C47"/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/>
        </w:tc>
        <w:tc>
          <w:tcPr>
            <w:tcW w:w="420" w:type="pct"/>
          </w:tcPr>
          <w:p w:rsidR="00EA2C47" w:rsidRPr="009B4256" w:rsidRDefault="00EA2C47" w:rsidP="00EA2C47"/>
        </w:tc>
        <w:tc>
          <w:tcPr>
            <w:tcW w:w="1304" w:type="pct"/>
          </w:tcPr>
          <w:p w:rsidR="00EA2C47" w:rsidRPr="009B4256" w:rsidRDefault="00EA2C47" w:rsidP="00EA2C47"/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</w:tbl>
    <w:p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C39D7"/>
    <w:rsid w:val="005D1940"/>
    <w:rsid w:val="005E2D89"/>
    <w:rsid w:val="005E6731"/>
    <w:rsid w:val="005F51F3"/>
    <w:rsid w:val="006063DE"/>
    <w:rsid w:val="00622EF9"/>
    <w:rsid w:val="006F5BDE"/>
    <w:rsid w:val="0070588B"/>
    <w:rsid w:val="007149BD"/>
    <w:rsid w:val="0072697B"/>
    <w:rsid w:val="0074349C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D08EE"/>
    <w:rsid w:val="00CD19F3"/>
    <w:rsid w:val="00CD4209"/>
    <w:rsid w:val="00CF02DF"/>
    <w:rsid w:val="00D01D21"/>
    <w:rsid w:val="00D479C1"/>
    <w:rsid w:val="00D560EB"/>
    <w:rsid w:val="00D67430"/>
    <w:rsid w:val="00D901C4"/>
    <w:rsid w:val="00DA5B2C"/>
    <w:rsid w:val="00DC72F0"/>
    <w:rsid w:val="00E069C8"/>
    <w:rsid w:val="00E21E4B"/>
    <w:rsid w:val="00E378E0"/>
    <w:rsid w:val="00E4420E"/>
    <w:rsid w:val="00E55A3D"/>
    <w:rsid w:val="00E812DF"/>
    <w:rsid w:val="00E9444C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677B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14</cp:revision>
  <dcterms:created xsi:type="dcterms:W3CDTF">2020-07-29T15:55:00Z</dcterms:created>
  <dcterms:modified xsi:type="dcterms:W3CDTF">2020-07-30T03:43:00Z</dcterms:modified>
</cp:coreProperties>
</file>