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8295" w14:textId="08E277D9" w:rsidR="00757E35" w:rsidRDefault="005F737B" w:rsidP="005F737B">
      <w:pPr>
        <w:pStyle w:val="Heading2"/>
      </w:pPr>
      <w:r>
        <w:rPr>
          <w:lang w:val="en-CA"/>
        </w:rPr>
        <w:t>Culture in a time of Covid</w:t>
      </w:r>
      <w:r>
        <w:rPr>
          <w:lang w:val="en-CA"/>
        </w:rPr>
        <w:br/>
      </w:r>
      <w:r>
        <w:t xml:space="preserve">An </w:t>
      </w:r>
      <w:r w:rsidR="00C15BF7" w:rsidRPr="00C15BF7">
        <w:t xml:space="preserve">Early Warning </w:t>
      </w:r>
      <w:r>
        <w:t>Reporting System</w:t>
      </w:r>
    </w:p>
    <w:p w14:paraId="6F03300C" w14:textId="5C435BB6" w:rsidR="00C15BF7" w:rsidRDefault="00C15BF7" w:rsidP="00C15BF7">
      <w:pPr>
        <w:rPr>
          <w:lang w:val="en-CA"/>
        </w:rPr>
      </w:pPr>
      <w:r>
        <w:rPr>
          <w:lang w:val="en-CA"/>
        </w:rPr>
        <w:t>Alan Freeman, Peter Higgs, Greg Miles</w:t>
      </w:r>
    </w:p>
    <w:p w14:paraId="0FD6A936" w14:textId="0C64F29C" w:rsidR="00C15BF7" w:rsidRDefault="00C15BF7" w:rsidP="00C15BF7">
      <w:pPr>
        <w:rPr>
          <w:lang w:val="en-CA"/>
        </w:rPr>
      </w:pPr>
      <w:r>
        <w:rPr>
          <w:lang w:val="en-CA"/>
        </w:rPr>
        <w:t xml:space="preserve">This paper </w:t>
      </w:r>
      <w:r w:rsidR="00D6422C">
        <w:rPr>
          <w:lang w:val="en-CA"/>
        </w:rPr>
        <w:t>proposes</w:t>
      </w:r>
      <w:r>
        <w:rPr>
          <w:lang w:val="en-CA"/>
        </w:rPr>
        <w:t xml:space="preserve"> a simplified reporting system for Canada’s Cultural and Creative Industries (CCI)</w:t>
      </w:r>
      <w:r w:rsidR="00EE4461">
        <w:rPr>
          <w:lang w:val="en-CA"/>
        </w:rPr>
        <w:t>,</w:t>
      </w:r>
      <w:r>
        <w:rPr>
          <w:lang w:val="en-CA"/>
        </w:rPr>
        <w:t xml:space="preserve"> to </w:t>
      </w:r>
      <w:r w:rsidR="00D6422C">
        <w:rPr>
          <w:lang w:val="en-CA"/>
        </w:rPr>
        <w:t xml:space="preserve">complement existing Cultural Satellite Account (CSA) reports. This will help </w:t>
      </w:r>
      <w:r>
        <w:rPr>
          <w:lang w:val="en-CA"/>
        </w:rPr>
        <w:t xml:space="preserve">industry, government, and statistical providers react to events, such as the recent pandemic, that impact jobs, output, infrastructure and financial viability </w:t>
      </w:r>
      <w:r w:rsidR="00D6422C">
        <w:rPr>
          <w:lang w:val="en-CA"/>
        </w:rPr>
        <w:t xml:space="preserve">but </w:t>
      </w:r>
      <w:r>
        <w:rPr>
          <w:lang w:val="en-CA"/>
        </w:rPr>
        <w:t>require a rapid response.</w:t>
      </w:r>
      <w:r w:rsidR="00AB3062">
        <w:rPr>
          <w:lang w:val="en-CA"/>
        </w:rPr>
        <w:t xml:space="preserve"> </w:t>
      </w:r>
      <w:r w:rsidR="00D6422C">
        <w:rPr>
          <w:lang w:val="en-CA"/>
        </w:rPr>
        <w:t xml:space="preserve">It also offers a flexible system for studying detail, including deviation from trend. </w:t>
      </w:r>
      <w:r>
        <w:rPr>
          <w:lang w:val="en-CA"/>
        </w:rPr>
        <w:t>It address</w:t>
      </w:r>
      <w:r w:rsidR="00D6422C">
        <w:rPr>
          <w:lang w:val="en-CA"/>
        </w:rPr>
        <w:t>es</w:t>
      </w:r>
      <w:r>
        <w:rPr>
          <w:lang w:val="en-CA"/>
        </w:rPr>
        <w:t xml:space="preserve"> two difficulties facing users</w:t>
      </w:r>
      <w:r w:rsidR="00D6422C">
        <w:rPr>
          <w:lang w:val="en-CA"/>
        </w:rPr>
        <w:t xml:space="preserve"> of the present reports</w:t>
      </w:r>
      <w:r>
        <w:rPr>
          <w:lang w:val="en-CA"/>
        </w:rPr>
        <w:t>:</w:t>
      </w:r>
    </w:p>
    <w:p w14:paraId="5332CBC1" w14:textId="347A80D0" w:rsidR="00C15BF7" w:rsidRDefault="00C15BF7" w:rsidP="00C15BF7">
      <w:pPr>
        <w:pStyle w:val="ListParagraph"/>
        <w:numPr>
          <w:ilvl w:val="0"/>
          <w:numId w:val="1"/>
        </w:numPr>
        <w:rPr>
          <w:lang w:val="en-CA"/>
        </w:rPr>
      </w:pPr>
      <w:r>
        <w:rPr>
          <w:lang w:val="en-CA"/>
        </w:rPr>
        <w:t xml:space="preserve">CSA data </w:t>
      </w:r>
      <w:r w:rsidR="00D6422C">
        <w:rPr>
          <w:lang w:val="en-CA"/>
        </w:rPr>
        <w:t xml:space="preserve">are </w:t>
      </w:r>
      <w:r>
        <w:rPr>
          <w:lang w:val="en-CA"/>
        </w:rPr>
        <w:t xml:space="preserve">very comprehensive, but lag 2-3 years behind the events </w:t>
      </w:r>
      <w:r w:rsidR="00D6422C">
        <w:rPr>
          <w:lang w:val="en-CA"/>
        </w:rPr>
        <w:t xml:space="preserve">they </w:t>
      </w:r>
      <w:r>
        <w:rPr>
          <w:lang w:val="en-CA"/>
        </w:rPr>
        <w:t>report</w:t>
      </w:r>
      <w:r w:rsidR="00D6422C">
        <w:rPr>
          <w:lang w:val="en-CA"/>
        </w:rPr>
        <w:t xml:space="preserve"> on</w:t>
      </w:r>
      <w:r>
        <w:rPr>
          <w:lang w:val="en-CA"/>
        </w:rPr>
        <w:t>.</w:t>
      </w:r>
    </w:p>
    <w:p w14:paraId="16D0242B" w14:textId="0A98F99E" w:rsidR="00C15BF7" w:rsidRDefault="00D6422C" w:rsidP="00C15BF7">
      <w:pPr>
        <w:pStyle w:val="ListParagraph"/>
        <w:numPr>
          <w:ilvl w:val="0"/>
          <w:numId w:val="1"/>
        </w:numPr>
        <w:rPr>
          <w:lang w:val="en-CA"/>
        </w:rPr>
      </w:pPr>
      <w:r>
        <w:rPr>
          <w:lang w:val="en-CA"/>
        </w:rPr>
        <w:t xml:space="preserve">The </w:t>
      </w:r>
      <w:r w:rsidR="00BB707F">
        <w:rPr>
          <w:lang w:val="en-CA"/>
        </w:rPr>
        <w:t xml:space="preserve">CSA </w:t>
      </w:r>
      <w:r>
        <w:rPr>
          <w:lang w:val="en-CA"/>
        </w:rPr>
        <w:t xml:space="preserve">applies </w:t>
      </w:r>
      <w:r w:rsidR="00BB707F">
        <w:rPr>
          <w:lang w:val="en-CA"/>
        </w:rPr>
        <w:t xml:space="preserve">‘partials’ or split factors to </w:t>
      </w:r>
      <w:r w:rsidR="00C621C8">
        <w:rPr>
          <w:lang w:val="en-CA"/>
        </w:rPr>
        <w:t xml:space="preserve">industries in </w:t>
      </w:r>
      <w:r w:rsidR="00BB707F">
        <w:rPr>
          <w:lang w:val="en-CA"/>
        </w:rPr>
        <w:t>the North American Industrial Classification (NAICS) system.</w:t>
      </w:r>
      <w:r w:rsidR="00C621C8">
        <w:rPr>
          <w:lang w:val="en-CA"/>
        </w:rPr>
        <w:t xml:space="preserve"> </w:t>
      </w:r>
      <w:r>
        <w:rPr>
          <w:lang w:val="en-CA"/>
        </w:rPr>
        <w:t>For privacy reasons t</w:t>
      </w:r>
      <w:r w:rsidR="00C621C8">
        <w:rPr>
          <w:lang w:val="en-CA"/>
        </w:rPr>
        <w:t xml:space="preserve">hese are not disclosable, </w:t>
      </w:r>
      <w:r>
        <w:rPr>
          <w:lang w:val="en-CA"/>
        </w:rPr>
        <w:t xml:space="preserve">making the results </w:t>
      </w:r>
      <w:r w:rsidR="0094304F">
        <w:rPr>
          <w:lang w:val="en-CA"/>
        </w:rPr>
        <w:t>harder</w:t>
      </w:r>
      <w:r w:rsidR="00C621C8">
        <w:rPr>
          <w:lang w:val="en-CA"/>
        </w:rPr>
        <w:t xml:space="preserve"> to interpret.</w:t>
      </w:r>
    </w:p>
    <w:p w14:paraId="48FEACA0" w14:textId="48DFDA4B" w:rsidR="00D41C49" w:rsidRPr="00D41C49" w:rsidRDefault="00D41C49" w:rsidP="00D41C49">
      <w:pPr>
        <w:pStyle w:val="Caption"/>
        <w:jc w:val="center"/>
      </w:pPr>
      <w:bookmarkStart w:id="0" w:name="_Ref66098815"/>
      <w:r>
        <w:t xml:space="preserve">Figure </w:t>
      </w:r>
      <w:r w:rsidR="00D24092">
        <w:fldChar w:fldCharType="begin"/>
      </w:r>
      <w:r w:rsidR="00D24092">
        <w:instrText xml:space="preserve"> SEQ Figure \* ARABIC </w:instrText>
      </w:r>
      <w:r w:rsidR="00D24092">
        <w:fldChar w:fldCharType="separate"/>
      </w:r>
      <w:r w:rsidR="00CD2D01">
        <w:rPr>
          <w:noProof/>
        </w:rPr>
        <w:t>1</w:t>
      </w:r>
      <w:r w:rsidR="00D24092">
        <w:rPr>
          <w:noProof/>
        </w:rPr>
        <w:fldChar w:fldCharType="end"/>
      </w:r>
      <w:bookmarkEnd w:id="0"/>
      <w:r>
        <w:t xml:space="preserve">:Employment </w:t>
      </w:r>
      <w:r w:rsidRPr="00D41C49">
        <w:t xml:space="preserve"> in </w:t>
      </w:r>
      <w:r>
        <w:t>CC</w:t>
      </w:r>
      <w:r w:rsidR="00B20B95">
        <w:t>I</w:t>
      </w:r>
      <w:r w:rsidRPr="00D41C49">
        <w:t xml:space="preserve"> performance, </w:t>
      </w:r>
      <w:r>
        <w:t>CC</w:t>
      </w:r>
      <w:r w:rsidR="00B20B95">
        <w:t>I</w:t>
      </w:r>
      <w:r>
        <w:t xml:space="preserve"> </w:t>
      </w:r>
      <w:r w:rsidRPr="00D41C49">
        <w:t xml:space="preserve">non-performance, and </w:t>
      </w:r>
      <w:r w:rsidR="00B20B95">
        <w:t xml:space="preserve">non-CCI </w:t>
      </w:r>
      <w:r w:rsidRPr="00D41C49">
        <w:t>industries</w:t>
      </w:r>
    </w:p>
    <w:p w14:paraId="58C85D01" w14:textId="6DB4FD82" w:rsidR="00D41C49" w:rsidRDefault="00D41C49" w:rsidP="00D41C49">
      <w:pPr>
        <w:pStyle w:val="NormalNospace"/>
        <w:rPr>
          <w:lang w:val="en-CA"/>
        </w:rPr>
      </w:pPr>
      <w:r>
        <w:drawing>
          <wp:inline distT="0" distB="0" distL="0" distR="0" wp14:anchorId="536E5B10" wp14:editId="5D538A57">
            <wp:extent cx="4224338" cy="3100387"/>
            <wp:effectExtent l="0" t="0" r="5080" b="5080"/>
            <wp:docPr id="1" name="Chart 1">
              <a:extLst xmlns:a="http://schemas.openxmlformats.org/drawingml/2006/main">
                <a:ext uri="{FF2B5EF4-FFF2-40B4-BE49-F238E27FC236}">
                  <a16:creationId xmlns:a16="http://schemas.microsoft.com/office/drawing/2014/main" id="{08C12D1D-7E53-464B-9008-6E6E6D90F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EEF931" w14:textId="0F38E64F" w:rsidR="00AD2162" w:rsidRDefault="00D41C49" w:rsidP="00D41C49">
      <w:pPr>
        <w:pStyle w:val="Notenospace"/>
        <w:jc w:val="center"/>
      </w:pPr>
      <w:r>
        <w:t>Source: Labour Force Monthly Survey, Author calculations</w:t>
      </w:r>
    </w:p>
    <w:p w14:paraId="0997D12E" w14:textId="788621A7" w:rsidR="00C621C8" w:rsidRDefault="00D41C49" w:rsidP="00D41C49">
      <w:pPr>
        <w:rPr>
          <w:lang w:val="en-CA"/>
        </w:rPr>
      </w:pPr>
      <w:r>
        <w:rPr>
          <w:lang w:val="en-CA"/>
        </w:rPr>
        <w:t xml:space="preserve">We propose </w:t>
      </w:r>
      <w:r w:rsidR="00C621C8">
        <w:rPr>
          <w:lang w:val="en-CA"/>
        </w:rPr>
        <w:t xml:space="preserve">to supplement this with </w:t>
      </w:r>
      <w:r>
        <w:rPr>
          <w:lang w:val="en-CA"/>
        </w:rPr>
        <w:t xml:space="preserve">a </w:t>
      </w:r>
      <w:r w:rsidR="00592A4A">
        <w:rPr>
          <w:lang w:val="en-CA"/>
        </w:rPr>
        <w:t>sub</w:t>
      </w:r>
      <w:r>
        <w:rPr>
          <w:lang w:val="en-CA"/>
        </w:rPr>
        <w:t xml:space="preserve">set of </w:t>
      </w:r>
      <w:r w:rsidR="00C621C8">
        <w:rPr>
          <w:lang w:val="en-CA"/>
        </w:rPr>
        <w:t xml:space="preserve">four-digit </w:t>
      </w:r>
      <w:r>
        <w:rPr>
          <w:lang w:val="en-CA"/>
        </w:rPr>
        <w:t>NAICS codes</w:t>
      </w:r>
      <w:r w:rsidR="00C621C8">
        <w:rPr>
          <w:lang w:val="en-CA"/>
        </w:rPr>
        <w:t>,</w:t>
      </w:r>
      <w:r>
        <w:rPr>
          <w:lang w:val="en-CA"/>
        </w:rPr>
        <w:t xml:space="preserve"> and a classification into domains and subdomains, </w:t>
      </w:r>
      <w:r w:rsidR="00592A4A">
        <w:rPr>
          <w:lang w:val="en-CA"/>
        </w:rPr>
        <w:t>whose primary</w:t>
      </w:r>
      <w:r w:rsidR="002F2FD8">
        <w:rPr>
          <w:lang w:val="en-CA"/>
        </w:rPr>
        <w:t xml:space="preserve"> </w:t>
      </w:r>
      <w:r w:rsidR="00592A4A">
        <w:rPr>
          <w:lang w:val="en-CA"/>
        </w:rPr>
        <w:t>function is cultural and/or creative</w:t>
      </w:r>
      <w:r w:rsidR="0094304F">
        <w:rPr>
          <w:lang w:val="en-CA"/>
        </w:rPr>
        <w:t>.</w:t>
      </w:r>
      <w:r w:rsidR="00592A4A">
        <w:rPr>
          <w:lang w:val="en-CA"/>
        </w:rPr>
        <w:t xml:space="preserve"> </w:t>
      </w:r>
      <w:r w:rsidR="0094304F">
        <w:rPr>
          <w:lang w:val="en-CA"/>
        </w:rPr>
        <w:t>T</w:t>
      </w:r>
      <w:r w:rsidR="00592A4A">
        <w:rPr>
          <w:lang w:val="en-CA"/>
        </w:rPr>
        <w:t>otal employment</w:t>
      </w:r>
      <w:r w:rsidR="0094304F">
        <w:rPr>
          <w:lang w:val="en-CA"/>
        </w:rPr>
        <w:t>,</w:t>
      </w:r>
      <w:r w:rsidR="00592A4A">
        <w:rPr>
          <w:lang w:val="en-CA"/>
        </w:rPr>
        <w:t xml:space="preserve"> output </w:t>
      </w:r>
      <w:r w:rsidR="0094304F">
        <w:rPr>
          <w:lang w:val="en-CA"/>
        </w:rPr>
        <w:t xml:space="preserve">and productivity </w:t>
      </w:r>
      <w:r w:rsidR="00592A4A">
        <w:rPr>
          <w:lang w:val="en-CA"/>
        </w:rPr>
        <w:t xml:space="preserve">will be </w:t>
      </w:r>
      <w:r w:rsidR="0094304F">
        <w:rPr>
          <w:lang w:val="en-CA"/>
        </w:rPr>
        <w:t>reported for these codes and this classification</w:t>
      </w:r>
      <w:r w:rsidR="00592A4A">
        <w:rPr>
          <w:lang w:val="en-CA"/>
        </w:rPr>
        <w:t xml:space="preserve">, exactly as for traditional industries like aerospace or agriculture. If split factors are employed these will be public. This </w:t>
      </w:r>
      <w:r w:rsidR="00B73B5B">
        <w:rPr>
          <w:lang w:val="en-CA"/>
        </w:rPr>
        <w:t>offer</w:t>
      </w:r>
      <w:r w:rsidR="00592A4A">
        <w:rPr>
          <w:lang w:val="en-CA"/>
        </w:rPr>
        <w:t>s</w:t>
      </w:r>
      <w:r w:rsidR="00B73B5B">
        <w:rPr>
          <w:lang w:val="en-CA"/>
        </w:rPr>
        <w:t xml:space="preserve"> </w:t>
      </w:r>
      <w:r w:rsidR="0094304F">
        <w:rPr>
          <w:lang w:val="en-CA"/>
        </w:rPr>
        <w:t xml:space="preserve">an </w:t>
      </w:r>
      <w:r>
        <w:rPr>
          <w:lang w:val="en-CA"/>
        </w:rPr>
        <w:t xml:space="preserve">‘early warning’ of the impact of </w:t>
      </w:r>
      <w:r w:rsidR="00B73B5B">
        <w:rPr>
          <w:lang w:val="en-CA"/>
        </w:rPr>
        <w:t xml:space="preserve">short-term </w:t>
      </w:r>
      <w:r>
        <w:rPr>
          <w:lang w:val="en-CA"/>
        </w:rPr>
        <w:t>change</w:t>
      </w:r>
      <w:r w:rsidR="00C621C8">
        <w:rPr>
          <w:lang w:val="en-CA"/>
        </w:rPr>
        <w:t xml:space="preserve">, </w:t>
      </w:r>
      <w:r w:rsidR="00592A4A">
        <w:rPr>
          <w:lang w:val="en-CA"/>
        </w:rPr>
        <w:t xml:space="preserve">and </w:t>
      </w:r>
      <w:r w:rsidR="0094304F">
        <w:rPr>
          <w:lang w:val="en-CA"/>
        </w:rPr>
        <w:t xml:space="preserve">provides </w:t>
      </w:r>
      <w:r w:rsidR="00C621C8">
        <w:rPr>
          <w:lang w:val="en-CA"/>
        </w:rPr>
        <w:t>additional insights into trends</w:t>
      </w:r>
      <w:r w:rsidR="0094304F">
        <w:rPr>
          <w:lang w:val="en-CA"/>
        </w:rPr>
        <w:t xml:space="preserve">. Finally, </w:t>
      </w:r>
      <w:r w:rsidR="00C621C8">
        <w:rPr>
          <w:lang w:val="en-CA"/>
        </w:rPr>
        <w:t>i</w:t>
      </w:r>
      <w:r>
        <w:rPr>
          <w:lang w:val="en-CA"/>
        </w:rPr>
        <w:t xml:space="preserve">ndependent researchers, </w:t>
      </w:r>
      <w:r w:rsidR="00592A4A">
        <w:rPr>
          <w:lang w:val="en-CA"/>
        </w:rPr>
        <w:t xml:space="preserve">industry and </w:t>
      </w:r>
      <w:r>
        <w:rPr>
          <w:lang w:val="en-CA"/>
        </w:rPr>
        <w:t xml:space="preserve">government </w:t>
      </w:r>
      <w:r w:rsidR="00592A4A">
        <w:rPr>
          <w:lang w:val="en-CA"/>
        </w:rPr>
        <w:t xml:space="preserve">can </w:t>
      </w:r>
      <w:r w:rsidR="00367144">
        <w:rPr>
          <w:lang w:val="en-CA"/>
        </w:rPr>
        <w:t xml:space="preserve">study </w:t>
      </w:r>
      <w:r w:rsidR="0094304F">
        <w:rPr>
          <w:lang w:val="en-CA"/>
        </w:rPr>
        <w:t xml:space="preserve">the data </w:t>
      </w:r>
      <w:r w:rsidR="00367144">
        <w:rPr>
          <w:lang w:val="en-CA"/>
        </w:rPr>
        <w:t>using the proposed system</w:t>
      </w:r>
      <w:r w:rsidR="0094304F">
        <w:rPr>
          <w:lang w:val="en-CA"/>
        </w:rPr>
        <w:t xml:space="preserve"> </w:t>
      </w:r>
      <w:r>
        <w:rPr>
          <w:lang w:val="en-CA"/>
        </w:rPr>
        <w:t>without increasing the burden on statistical agencies</w:t>
      </w:r>
      <w:r w:rsidR="0094304F">
        <w:rPr>
          <w:lang w:val="en-CA"/>
        </w:rPr>
        <w:t>, because it is entirely public.</w:t>
      </w:r>
    </w:p>
    <w:p w14:paraId="6088EC0D" w14:textId="49B380DD" w:rsidR="00C621C8" w:rsidRDefault="00D41C49" w:rsidP="00D41C49">
      <w:pPr>
        <w:rPr>
          <w:lang w:val="en-CA"/>
        </w:rPr>
      </w:pPr>
      <w:r>
        <w:rPr>
          <w:lang w:val="en-CA"/>
        </w:rPr>
        <w:fldChar w:fldCharType="begin"/>
      </w:r>
      <w:r>
        <w:rPr>
          <w:lang w:val="en-CA"/>
        </w:rPr>
        <w:instrText xml:space="preserve"> REF _Ref66098815 \h </w:instrText>
      </w:r>
      <w:r>
        <w:rPr>
          <w:lang w:val="en-CA"/>
        </w:rPr>
      </w:r>
      <w:r>
        <w:rPr>
          <w:lang w:val="en-CA"/>
        </w:rPr>
        <w:fldChar w:fldCharType="separate"/>
      </w:r>
      <w:r>
        <w:t xml:space="preserve">Figure </w:t>
      </w:r>
      <w:r>
        <w:rPr>
          <w:noProof/>
        </w:rPr>
        <w:t>1</w:t>
      </w:r>
      <w:r>
        <w:rPr>
          <w:lang w:val="en-CA"/>
        </w:rPr>
        <w:fldChar w:fldCharType="end"/>
      </w:r>
      <w:r>
        <w:rPr>
          <w:lang w:val="en-CA"/>
        </w:rPr>
        <w:t xml:space="preserve"> illustrates the </w:t>
      </w:r>
      <w:r w:rsidR="00C621C8">
        <w:rPr>
          <w:lang w:val="en-CA"/>
        </w:rPr>
        <w:t>idea</w:t>
      </w:r>
      <w:r>
        <w:rPr>
          <w:lang w:val="en-CA"/>
        </w:rPr>
        <w:t>. It records the number of people employed in Performing industries</w:t>
      </w:r>
      <w:r w:rsidR="00595FC5">
        <w:rPr>
          <w:lang w:val="en-CA"/>
        </w:rPr>
        <w:t xml:space="preserve"> (</w:t>
      </w:r>
      <w:r>
        <w:rPr>
          <w:lang w:val="en-CA"/>
        </w:rPr>
        <w:t>principally Music and Theatre</w:t>
      </w:r>
      <w:r w:rsidR="00595FC5">
        <w:rPr>
          <w:lang w:val="en-CA"/>
        </w:rPr>
        <w:t>)</w:t>
      </w:r>
      <w:r w:rsidR="00C621C8">
        <w:rPr>
          <w:lang w:val="en-CA"/>
        </w:rPr>
        <w:t xml:space="preserve"> in</w:t>
      </w:r>
      <w:r>
        <w:rPr>
          <w:lang w:val="en-CA"/>
        </w:rPr>
        <w:t xml:space="preserve"> other </w:t>
      </w:r>
      <w:r w:rsidR="007D39F4">
        <w:rPr>
          <w:lang w:val="en-CA"/>
        </w:rPr>
        <w:t>CCI industries</w:t>
      </w:r>
      <w:r>
        <w:rPr>
          <w:lang w:val="en-CA"/>
        </w:rPr>
        <w:t xml:space="preserve">, and </w:t>
      </w:r>
      <w:r w:rsidR="00C621C8">
        <w:rPr>
          <w:lang w:val="en-CA"/>
        </w:rPr>
        <w:t xml:space="preserve">the </w:t>
      </w:r>
      <w:r w:rsidR="003731AC">
        <w:rPr>
          <w:lang w:val="en-CA"/>
        </w:rPr>
        <w:t xml:space="preserve">remainder. </w:t>
      </w:r>
      <w:r w:rsidR="00C621C8">
        <w:rPr>
          <w:lang w:val="en-CA"/>
        </w:rPr>
        <w:t xml:space="preserve">We indexed the </w:t>
      </w:r>
      <w:r w:rsidR="003731AC">
        <w:rPr>
          <w:lang w:val="en-CA"/>
        </w:rPr>
        <w:t xml:space="preserve">data </w:t>
      </w:r>
      <w:r w:rsidR="00C621C8">
        <w:rPr>
          <w:lang w:val="en-CA"/>
        </w:rPr>
        <w:t xml:space="preserve">to </w:t>
      </w:r>
      <w:r w:rsidR="003731AC">
        <w:rPr>
          <w:lang w:val="en-CA"/>
        </w:rPr>
        <w:t>1</w:t>
      </w:r>
      <w:r w:rsidR="003731AC" w:rsidRPr="003731AC">
        <w:rPr>
          <w:vertAlign w:val="superscript"/>
          <w:lang w:val="en-CA"/>
        </w:rPr>
        <w:t>st</w:t>
      </w:r>
      <w:r w:rsidR="003731AC">
        <w:rPr>
          <w:lang w:val="en-CA"/>
        </w:rPr>
        <w:t xml:space="preserve"> January 2020, </w:t>
      </w:r>
      <w:r w:rsidR="00C621C8">
        <w:rPr>
          <w:lang w:val="en-CA"/>
        </w:rPr>
        <w:t>to compare their growth rates</w:t>
      </w:r>
      <w:r w:rsidR="003731AC">
        <w:rPr>
          <w:lang w:val="en-CA"/>
        </w:rPr>
        <w:t>.</w:t>
      </w:r>
      <w:r w:rsidR="007004A1">
        <w:rPr>
          <w:rStyle w:val="FootnoteReference"/>
          <w:lang w:val="en-CA"/>
        </w:rPr>
        <w:footnoteReference w:id="1"/>
      </w:r>
      <w:r w:rsidR="00C621C8">
        <w:rPr>
          <w:lang w:val="en-CA"/>
        </w:rPr>
        <w:t xml:space="preserve"> </w:t>
      </w:r>
    </w:p>
    <w:p w14:paraId="10CEF729" w14:textId="56775455" w:rsidR="00571173" w:rsidRDefault="00C621C8" w:rsidP="00D41C49">
      <w:r>
        <w:rPr>
          <w:lang w:val="en-CA"/>
        </w:rPr>
        <w:lastRenderedPageBreak/>
        <w:t xml:space="preserve">COVID hit all industries, but </w:t>
      </w:r>
      <w:r w:rsidR="006A2306">
        <w:rPr>
          <w:lang w:val="en-CA"/>
        </w:rPr>
        <w:t xml:space="preserve">the performing arts </w:t>
      </w:r>
      <w:r>
        <w:rPr>
          <w:lang w:val="en-CA"/>
        </w:rPr>
        <w:t>suffered most</w:t>
      </w:r>
      <w:r w:rsidR="006A2306">
        <w:rPr>
          <w:lang w:val="en-CA"/>
        </w:rPr>
        <w:t xml:space="preserve">, </w:t>
      </w:r>
      <w:r w:rsidR="00096DA5">
        <w:rPr>
          <w:lang w:val="en-CA"/>
        </w:rPr>
        <w:t xml:space="preserve">as </w:t>
      </w:r>
      <w:r w:rsidR="006A2306">
        <w:rPr>
          <w:lang w:val="en-CA"/>
        </w:rPr>
        <w:t xml:space="preserve">we would expect, since </w:t>
      </w:r>
      <w:r>
        <w:rPr>
          <w:lang w:val="en-CA"/>
        </w:rPr>
        <w:t xml:space="preserve">they </w:t>
      </w:r>
      <w:r w:rsidR="006A2306">
        <w:rPr>
          <w:lang w:val="en-CA"/>
        </w:rPr>
        <w:t xml:space="preserve">depend on live venues </w:t>
      </w:r>
      <w:r w:rsidR="00096DA5">
        <w:rPr>
          <w:lang w:val="en-CA"/>
        </w:rPr>
        <w:t xml:space="preserve">that </w:t>
      </w:r>
      <w:r w:rsidR="006A2306">
        <w:rPr>
          <w:lang w:val="en-CA"/>
        </w:rPr>
        <w:t>closed</w:t>
      </w:r>
      <w:r w:rsidR="009D3725">
        <w:rPr>
          <w:lang w:val="en-CA"/>
        </w:rPr>
        <w:t xml:space="preserve">. </w:t>
      </w:r>
      <w:r>
        <w:rPr>
          <w:lang w:val="en-CA"/>
        </w:rPr>
        <w:fldChar w:fldCharType="begin"/>
      </w:r>
      <w:r>
        <w:rPr>
          <w:lang w:val="en-CA"/>
        </w:rPr>
        <w:instrText xml:space="preserve"> REF _Ref66098815 \h </w:instrText>
      </w:r>
      <w:r>
        <w:rPr>
          <w:lang w:val="en-CA"/>
        </w:rPr>
      </w:r>
      <w:r>
        <w:rPr>
          <w:lang w:val="en-CA"/>
        </w:rPr>
        <w:fldChar w:fldCharType="separate"/>
      </w:r>
      <w:r>
        <w:t xml:space="preserve">Figure </w:t>
      </w:r>
      <w:r>
        <w:rPr>
          <w:noProof/>
        </w:rPr>
        <w:t>1</w:t>
      </w:r>
      <w:r>
        <w:rPr>
          <w:lang w:val="en-CA"/>
        </w:rPr>
        <w:fldChar w:fldCharType="end"/>
      </w:r>
      <w:r>
        <w:rPr>
          <w:lang w:val="en-CA"/>
        </w:rPr>
        <w:t xml:space="preserve"> displays </w:t>
      </w:r>
      <w:r w:rsidR="009D3725">
        <w:rPr>
          <w:lang w:val="en-CA"/>
        </w:rPr>
        <w:t xml:space="preserve">the severity of the impact, its duration, and the </w:t>
      </w:r>
      <w:r>
        <w:rPr>
          <w:lang w:val="en-CA"/>
        </w:rPr>
        <w:t xml:space="preserve">timing and </w:t>
      </w:r>
      <w:r w:rsidR="009D3725">
        <w:rPr>
          <w:lang w:val="en-CA"/>
        </w:rPr>
        <w:t xml:space="preserve">extent of the recovery so far. </w:t>
      </w:r>
      <w:r>
        <w:rPr>
          <w:lang w:val="en-CA"/>
        </w:rPr>
        <w:t>T</w:t>
      </w:r>
      <w:r w:rsidR="009D3725">
        <w:rPr>
          <w:lang w:val="en-CA"/>
        </w:rPr>
        <w:t xml:space="preserve">he </w:t>
      </w:r>
      <w:r w:rsidR="009D3725">
        <w:rPr>
          <w:i/>
          <w:iCs/>
          <w:lang w:val="en-CA"/>
        </w:rPr>
        <w:t>non-</w:t>
      </w:r>
      <w:r w:rsidR="009D3725">
        <w:t xml:space="preserve">performing CC industries </w:t>
      </w:r>
      <w:r w:rsidR="00096DA5">
        <w:t xml:space="preserve">did </w:t>
      </w:r>
      <w:r w:rsidR="009D3725">
        <w:t xml:space="preserve">quite well, recovering to trend by December. </w:t>
      </w:r>
      <w:r w:rsidR="00B27CE5">
        <w:t xml:space="preserve">The data also </w:t>
      </w:r>
      <w:r w:rsidR="009D3725">
        <w:t xml:space="preserve">suggest </w:t>
      </w:r>
      <w:r w:rsidR="00096DA5">
        <w:t xml:space="preserve">that </w:t>
      </w:r>
      <w:r w:rsidR="009D3725">
        <w:t xml:space="preserve">performance-based industries </w:t>
      </w:r>
      <w:r w:rsidR="00096DA5">
        <w:t>have an inverse seasonal relationship to the rest,</w:t>
      </w:r>
      <w:r w:rsidR="009D3725">
        <w:t xml:space="preserve"> </w:t>
      </w:r>
      <w:r w:rsidR="00096DA5">
        <w:t xml:space="preserve">rising </w:t>
      </w:r>
      <w:r w:rsidR="009D3725">
        <w:t>in winter months while everything else rises in the summer months to a peak in early autumn.</w:t>
      </w:r>
      <w:r w:rsidR="00B27CE5">
        <w:t xml:space="preserve"> Finally the </w:t>
      </w:r>
      <w:r w:rsidR="004361EB">
        <w:t xml:space="preserve">data </w:t>
      </w:r>
      <w:r w:rsidR="00096DA5">
        <w:t xml:space="preserve">suggest that </w:t>
      </w:r>
      <w:r w:rsidR="004361EB">
        <w:t xml:space="preserve">in 2015, performing industries </w:t>
      </w:r>
      <w:r w:rsidR="00096DA5">
        <w:t xml:space="preserve">employment </w:t>
      </w:r>
      <w:r w:rsidR="004361EB">
        <w:t>uncharacteristically dipped</w:t>
      </w:r>
      <w:r w:rsidR="00096DA5">
        <w:t>.</w:t>
      </w:r>
      <w:r w:rsidR="004361EB">
        <w:t xml:space="preserve"> </w:t>
      </w:r>
      <w:r w:rsidR="00096DA5">
        <w:t>W</w:t>
      </w:r>
      <w:r w:rsidR="004361EB">
        <w:t>e don’t know</w:t>
      </w:r>
      <w:r w:rsidR="004631D5">
        <w:t xml:space="preserve"> what</w:t>
      </w:r>
      <w:r w:rsidR="00096DA5">
        <w:t xml:space="preserve"> happened</w:t>
      </w:r>
      <w:r w:rsidR="004361EB">
        <w:t>, but the data tell us something</w:t>
      </w:r>
      <w:r w:rsidR="004631D5">
        <w:t xml:space="preserve"> worth looking into.</w:t>
      </w:r>
      <w:r w:rsidR="00096DA5">
        <w:t xml:space="preserve"> </w:t>
      </w:r>
    </w:p>
    <w:p w14:paraId="4D09D8E4" w14:textId="542AA532" w:rsidR="00592A4A" w:rsidRDefault="00D85D4A" w:rsidP="00A500A0">
      <w:pPr>
        <w:pStyle w:val="Caption"/>
        <w:jc w:val="center"/>
      </w:pPr>
      <w:bookmarkStart w:id="1" w:name="_Ref66287612"/>
      <w:r>
        <w:t xml:space="preserve">Figure </w:t>
      </w:r>
      <w:r w:rsidR="00D24092">
        <w:fldChar w:fldCharType="begin"/>
      </w:r>
      <w:r w:rsidR="00D24092">
        <w:instrText xml:space="preserve"> SEQ Figure \* ARABIC </w:instrText>
      </w:r>
      <w:r w:rsidR="00D24092">
        <w:fldChar w:fldCharType="separate"/>
      </w:r>
      <w:r w:rsidR="00CD2D01">
        <w:rPr>
          <w:noProof/>
        </w:rPr>
        <w:t>2</w:t>
      </w:r>
      <w:r w:rsidR="00D24092">
        <w:rPr>
          <w:noProof/>
        </w:rPr>
        <w:fldChar w:fldCharType="end"/>
      </w:r>
      <w:bookmarkEnd w:id="1"/>
      <w:r>
        <w:t xml:space="preserve">: Employment </w:t>
      </w:r>
      <w:r w:rsidR="00A500A0">
        <w:t>change between November 2019 and November 2020</w:t>
      </w:r>
    </w:p>
    <w:p w14:paraId="06BB9FB8" w14:textId="2427BCED" w:rsidR="00571173" w:rsidRDefault="00592A4A" w:rsidP="00A500A0">
      <w:pPr>
        <w:pStyle w:val="NormalNospace"/>
      </w:pPr>
      <w:r>
        <w:drawing>
          <wp:inline distT="0" distB="0" distL="0" distR="0" wp14:anchorId="5DE49FFD" wp14:editId="7B95D007">
            <wp:extent cx="4443413" cy="3148013"/>
            <wp:effectExtent l="0" t="0" r="14605" b="14605"/>
            <wp:docPr id="3" name="Chart 3">
              <a:extLst xmlns:a="http://schemas.openxmlformats.org/drawingml/2006/main">
                <a:ext uri="{FF2B5EF4-FFF2-40B4-BE49-F238E27FC236}">
                  <a16:creationId xmlns:a16="http://schemas.microsoft.com/office/drawing/2014/main" id="{8B121252-9B89-4AA9-9D6F-E2EDF31E7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87860C" w14:textId="212E4BCF" w:rsidR="00A500A0" w:rsidRDefault="00A500A0" w:rsidP="00A500A0">
      <w:pPr>
        <w:pStyle w:val="Notenospace"/>
        <w:jc w:val="center"/>
      </w:pPr>
      <w:r>
        <w:t>Source: Labour Force Monthly Survey, Author calculation</w:t>
      </w:r>
    </w:p>
    <w:p w14:paraId="30FAA002" w14:textId="77777777" w:rsidR="00FB45F3" w:rsidRDefault="00565516" w:rsidP="00D41C49">
      <w:r>
        <w:t xml:space="preserve">We can drill down into this data to </w:t>
      </w:r>
      <w:r w:rsidR="00566F93">
        <w:t>get more detail</w:t>
      </w:r>
      <w:r>
        <w:t>.</w:t>
      </w:r>
      <w:r w:rsidR="00566F93">
        <w:t xml:space="preserve"> </w:t>
      </w:r>
      <w:r w:rsidR="00566F93">
        <w:fldChar w:fldCharType="begin"/>
      </w:r>
      <w:r w:rsidR="00566F93">
        <w:instrText xml:space="preserve"> REF _Ref66287612 \h </w:instrText>
      </w:r>
      <w:r w:rsidR="00566F93">
        <w:fldChar w:fldCharType="separate"/>
      </w:r>
      <w:r w:rsidR="00566F93">
        <w:t xml:space="preserve">Figure </w:t>
      </w:r>
      <w:r w:rsidR="00566F93">
        <w:rPr>
          <w:noProof/>
        </w:rPr>
        <w:t>2</w:t>
      </w:r>
      <w:r w:rsidR="00566F93">
        <w:fldChar w:fldCharType="end"/>
      </w:r>
      <w:r w:rsidR="00566F93">
        <w:t xml:space="preserve"> shows how employment changed, between November 2019 and November 2020, in a selection of ‘sub-domains’ which fine-tune the analysis. Since we compares like months, the result is </w:t>
      </w:r>
      <w:r w:rsidR="00BF4D21">
        <w:t>un</w:t>
      </w:r>
      <w:r w:rsidR="00566F93">
        <w:t xml:space="preserve">affected by seasonal variations. </w:t>
      </w:r>
      <w:r w:rsidR="00F50846">
        <w:t xml:space="preserve">Like </w:t>
      </w:r>
      <w:r w:rsidR="00F50846">
        <w:fldChar w:fldCharType="begin"/>
      </w:r>
      <w:r w:rsidR="00F50846">
        <w:instrText xml:space="preserve"> REF _Ref66098815 \h </w:instrText>
      </w:r>
      <w:r w:rsidR="00F50846">
        <w:fldChar w:fldCharType="separate"/>
      </w:r>
      <w:r w:rsidR="00F50846">
        <w:t xml:space="preserve">Figure </w:t>
      </w:r>
      <w:r w:rsidR="00F50846">
        <w:rPr>
          <w:noProof/>
        </w:rPr>
        <w:t>1</w:t>
      </w:r>
      <w:r w:rsidR="00F50846">
        <w:fldChar w:fldCharType="end"/>
      </w:r>
      <w:r w:rsidR="00BF4D21">
        <w:t>,</w:t>
      </w:r>
      <w:r w:rsidR="00F50846">
        <w:t xml:space="preserve"> this yields new information. Beside the predictable decline in Performance, Advertising also suffered. </w:t>
      </w:r>
      <w:r w:rsidR="00BF4D21">
        <w:t>T</w:t>
      </w:r>
      <w:r w:rsidR="00F50846">
        <w:t xml:space="preserve">he big winners were Film </w:t>
      </w:r>
      <w:r w:rsidR="00BF4D21">
        <w:t xml:space="preserve">and its related activities </w:t>
      </w:r>
      <w:r w:rsidR="00F50846">
        <w:t>(</w:t>
      </w:r>
      <w:r w:rsidR="00BF4D21">
        <w:t xml:space="preserve">nowadays </w:t>
      </w:r>
      <w:r w:rsidR="00F50846">
        <w:t>Media Production Services</w:t>
      </w:r>
      <w:r w:rsidR="00BF4D21">
        <w:t xml:space="preserve"> or MPS</w:t>
      </w:r>
      <w:r w:rsidR="00F50846">
        <w:t>) and IT</w:t>
      </w:r>
      <w:r w:rsidR="00BF4D21">
        <w:t>.</w:t>
      </w:r>
      <w:r w:rsidR="005A7E90">
        <w:t xml:space="preserve"> </w:t>
      </w:r>
    </w:p>
    <w:p w14:paraId="2DBF144D" w14:textId="77777777" w:rsidR="00FB45F3" w:rsidRDefault="009E4A15" w:rsidP="00FB45F3">
      <w:r>
        <w:t xml:space="preserve">Of course, the picture is incomplete. We don’t know, for example, if artists </w:t>
      </w:r>
      <w:r w:rsidR="00BF4D21">
        <w:t xml:space="preserve">who </w:t>
      </w:r>
      <w:r>
        <w:t xml:space="preserve">lost employment in live performance benefitted from the growth in </w:t>
      </w:r>
      <w:r w:rsidR="00BF4D21">
        <w:t>MPS, or w</w:t>
      </w:r>
      <w:r w:rsidR="009E59E2">
        <w:t xml:space="preserve">hich Media </w:t>
      </w:r>
      <w:r w:rsidR="00BF4D21">
        <w:t>S</w:t>
      </w:r>
      <w:r w:rsidR="009E59E2">
        <w:t>ervices benefitted most: online services, film production, broadcasting, photography</w:t>
      </w:r>
      <w:r w:rsidR="000302F8">
        <w:t xml:space="preserve">, or video production? </w:t>
      </w:r>
      <w:r w:rsidR="00BF4D21">
        <w:t xml:space="preserve">We don’t know the extent to which growth in MPS and IT were interconnected. </w:t>
      </w:r>
      <w:r w:rsidR="000302F8">
        <w:t>We can hazard guess</w:t>
      </w:r>
      <w:r w:rsidR="00BF4D21">
        <w:t>es</w:t>
      </w:r>
      <w:r w:rsidR="000302F8">
        <w:t>—but the data, if we treat them respectfully, will tell us if we are right.</w:t>
      </w:r>
      <w:r w:rsidR="00FB45F3">
        <w:t xml:space="preserve"> Our proposed system makes this possible.</w:t>
      </w:r>
      <w:r w:rsidR="00FB45F3" w:rsidRPr="00FB45F3">
        <w:t xml:space="preserve"> </w:t>
      </w:r>
    </w:p>
    <w:p w14:paraId="3DC6AC0E" w14:textId="3C0BF337" w:rsidR="00FB45F3" w:rsidRDefault="00FB45F3" w:rsidP="00FB45F3">
      <w:r>
        <w:t xml:space="preserve">We can also compare the Creative and Cultural Industries meaningfully with others. </w:t>
      </w:r>
      <w:r>
        <w:fldChar w:fldCharType="begin"/>
      </w:r>
      <w:r>
        <w:instrText xml:space="preserve"> REF _Ref66292125 \h </w:instrText>
      </w:r>
      <w:r>
        <w:fldChar w:fldCharType="separate"/>
      </w:r>
      <w:r>
        <w:t xml:space="preserve">Figure </w:t>
      </w:r>
      <w:r>
        <w:rPr>
          <w:noProof/>
        </w:rPr>
        <w:t>3</w:t>
      </w:r>
      <w:r>
        <w:fldChar w:fldCharType="end"/>
      </w:r>
      <w:r>
        <w:t xml:space="preserve"> displays </w:t>
      </w:r>
      <w:r w:rsidR="007D39F4">
        <w:t xml:space="preserve">pre-pandemic </w:t>
      </w:r>
      <w:r>
        <w:t xml:space="preserve">growth in the Labour Force between 2010 and 2019 in a selection of traditional industries, </w:t>
      </w:r>
      <w:r w:rsidR="007D39F4">
        <w:t xml:space="preserve">and compares them with the </w:t>
      </w:r>
      <w:r>
        <w:t>CCI, using our proposed classification.</w:t>
      </w:r>
    </w:p>
    <w:p w14:paraId="57C15799" w14:textId="42949E55" w:rsidR="00912A41" w:rsidRDefault="00912A41" w:rsidP="00912A41">
      <w:pPr>
        <w:rPr>
          <w:lang w:val="en-CA"/>
        </w:rPr>
      </w:pPr>
      <w:r>
        <w:rPr>
          <w:lang w:val="en-CA"/>
        </w:rPr>
        <w:fldChar w:fldCharType="begin"/>
      </w:r>
      <w:r>
        <w:rPr>
          <w:lang w:val="en-CA"/>
        </w:rPr>
        <w:instrText xml:space="preserve"> REF _Ref66098815 \h </w:instrText>
      </w:r>
      <w:r>
        <w:rPr>
          <w:lang w:val="en-CA"/>
        </w:rPr>
      </w:r>
      <w:r>
        <w:rPr>
          <w:lang w:val="en-CA"/>
        </w:rPr>
        <w:fldChar w:fldCharType="separate"/>
      </w:r>
      <w:r>
        <w:t xml:space="preserve">Figure </w:t>
      </w:r>
      <w:r>
        <w:rPr>
          <w:noProof/>
        </w:rPr>
        <w:t>1</w:t>
      </w:r>
      <w:r>
        <w:rPr>
          <w:lang w:val="en-CA"/>
        </w:rPr>
        <w:fldChar w:fldCharType="end"/>
      </w:r>
      <w:r>
        <w:rPr>
          <w:lang w:val="en-CA"/>
        </w:rPr>
        <w:t xml:space="preserve">, presenting employment, already suggests that CI industries outperform the rest of the economy. By December 2019, trend employment had grown by over 30% compared to 12% for the rest of the economy. </w:t>
      </w:r>
      <w:r>
        <w:rPr>
          <w:lang w:val="en-CA"/>
        </w:rPr>
        <w:fldChar w:fldCharType="begin"/>
      </w:r>
      <w:r>
        <w:rPr>
          <w:lang w:val="en-CA"/>
        </w:rPr>
        <w:instrText xml:space="preserve"> REF _Ref66292125 \h </w:instrText>
      </w:r>
      <w:r>
        <w:rPr>
          <w:lang w:val="en-CA"/>
        </w:rPr>
      </w:r>
      <w:r>
        <w:rPr>
          <w:lang w:val="en-CA"/>
        </w:rPr>
        <w:fldChar w:fldCharType="separate"/>
      </w:r>
      <w:r>
        <w:t xml:space="preserve">Figure </w:t>
      </w:r>
      <w:r>
        <w:rPr>
          <w:noProof/>
        </w:rPr>
        <w:t>3</w:t>
      </w:r>
      <w:r>
        <w:rPr>
          <w:lang w:val="en-CA"/>
        </w:rPr>
        <w:fldChar w:fldCharType="end"/>
      </w:r>
      <w:r>
        <w:rPr>
          <w:lang w:val="en-CA"/>
        </w:rPr>
        <w:t>, presenting the labour force (whether employed or not) confirms this.</w:t>
      </w:r>
    </w:p>
    <w:p w14:paraId="1D813CEF" w14:textId="296E949A" w:rsidR="005A7E90" w:rsidRDefault="005A7E90" w:rsidP="005A7E90">
      <w:pPr>
        <w:pStyle w:val="Caption"/>
        <w:jc w:val="center"/>
      </w:pPr>
      <w:bookmarkStart w:id="2" w:name="_Ref66292125"/>
      <w:r>
        <w:lastRenderedPageBreak/>
        <w:t xml:space="preserve">Figure </w:t>
      </w:r>
      <w:r w:rsidR="00D24092">
        <w:fldChar w:fldCharType="begin"/>
      </w:r>
      <w:r w:rsidR="00D24092">
        <w:instrText xml:space="preserve"> SEQ Figure \* ARABIC </w:instrText>
      </w:r>
      <w:r w:rsidR="00D24092">
        <w:fldChar w:fldCharType="separate"/>
      </w:r>
      <w:r w:rsidR="00CD2D01">
        <w:rPr>
          <w:noProof/>
        </w:rPr>
        <w:t>3</w:t>
      </w:r>
      <w:r w:rsidR="00D24092">
        <w:rPr>
          <w:noProof/>
        </w:rPr>
        <w:fldChar w:fldCharType="end"/>
      </w:r>
      <w:bookmarkEnd w:id="2"/>
      <w:r>
        <w:t xml:space="preserve"> Growth in the labour force, 2010-2019</w:t>
      </w:r>
    </w:p>
    <w:p w14:paraId="7D13A9B4" w14:textId="634D09E3" w:rsidR="005A7E90" w:rsidRDefault="005A7E90" w:rsidP="005A7E90">
      <w:pPr>
        <w:pStyle w:val="Caption"/>
        <w:jc w:val="center"/>
      </w:pPr>
      <w:r>
        <w:rPr>
          <w:noProof/>
        </w:rPr>
        <w:drawing>
          <wp:inline distT="0" distB="0" distL="0" distR="0" wp14:anchorId="66DA2DEB" wp14:editId="635BEAB1">
            <wp:extent cx="4214813" cy="2495550"/>
            <wp:effectExtent l="0" t="0" r="14605" b="0"/>
            <wp:docPr id="4" name="Chart 4">
              <a:extLst xmlns:a="http://schemas.openxmlformats.org/drawingml/2006/main">
                <a:ext uri="{FF2B5EF4-FFF2-40B4-BE49-F238E27FC236}">
                  <a16:creationId xmlns:a16="http://schemas.microsoft.com/office/drawing/2014/main" id="{D569C509-FE46-4102-98EC-EC7D0A133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8F2542" w14:textId="4C6A43B6" w:rsidR="005A7E90" w:rsidRPr="005A7E90" w:rsidRDefault="005A7E90" w:rsidP="005A7E90">
      <w:pPr>
        <w:pStyle w:val="Notenospace"/>
        <w:jc w:val="center"/>
      </w:pPr>
      <w:r>
        <w:t>Source: Labour Force Monthly Survey, Author calculation. Labour Force is calculated as the average over the year</w:t>
      </w:r>
    </w:p>
    <w:p w14:paraId="7B1C2389" w14:textId="2205B92C" w:rsidR="00722882" w:rsidRDefault="00E3106B" w:rsidP="005A7E90">
      <w:r>
        <w:fldChar w:fldCharType="begin"/>
      </w:r>
      <w:r>
        <w:instrText xml:space="preserve"> REF _Ref66292125 \h </w:instrText>
      </w:r>
      <w:r>
        <w:fldChar w:fldCharType="separate"/>
      </w:r>
      <w:r>
        <w:t xml:space="preserve">Figure </w:t>
      </w:r>
      <w:r>
        <w:rPr>
          <w:noProof/>
        </w:rPr>
        <w:t>3</w:t>
      </w:r>
      <w:r>
        <w:fldChar w:fldCharType="end"/>
      </w:r>
      <w:r>
        <w:t xml:space="preserve"> </w:t>
      </w:r>
      <w:r w:rsidR="00722882">
        <w:t>illustrates a</w:t>
      </w:r>
      <w:r w:rsidR="00EC4AC0">
        <w:t xml:space="preserve"> </w:t>
      </w:r>
      <w:r w:rsidR="00722882">
        <w:t xml:space="preserve">fact confirmed by </w:t>
      </w:r>
      <w:r w:rsidR="0044186A">
        <w:t xml:space="preserve">other countries </w:t>
      </w:r>
      <w:r w:rsidR="00722882">
        <w:t xml:space="preserve">including the United Kingdom, Europe, </w:t>
      </w:r>
      <w:r>
        <w:t xml:space="preserve">Australia and several </w:t>
      </w:r>
      <w:r w:rsidR="00722882">
        <w:t xml:space="preserve">East Asian economies: the CCI are a driver of growth in the economy. This is not always apparent </w:t>
      </w:r>
      <w:r w:rsidR="00EC4AC0">
        <w:t xml:space="preserve">in </w:t>
      </w:r>
      <w:r w:rsidR="00722882">
        <w:t>CSA data</w:t>
      </w:r>
      <w:r w:rsidR="00EC4AC0">
        <w:t xml:space="preserve"> </w:t>
      </w:r>
      <w:r w:rsidR="00722882">
        <w:t xml:space="preserve">which </w:t>
      </w:r>
      <w:r>
        <w:t>are</w:t>
      </w:r>
      <w:r w:rsidR="00EC4AC0">
        <w:t xml:space="preserve"> concerned with structure</w:t>
      </w:r>
      <w:r>
        <w:t xml:space="preserve"> and </w:t>
      </w:r>
      <w:r w:rsidR="00EC4AC0">
        <w:t xml:space="preserve">therefore </w:t>
      </w:r>
      <w:r w:rsidR="00722882">
        <w:t>record</w:t>
      </w:r>
      <w:r w:rsidR="00EC4AC0">
        <w:t>s</w:t>
      </w:r>
      <w:r w:rsidR="00722882">
        <w:t xml:space="preserve"> both </w:t>
      </w:r>
      <w:r w:rsidR="00722882">
        <w:rPr>
          <w:i/>
          <w:iCs/>
        </w:rPr>
        <w:t xml:space="preserve">direct </w:t>
      </w:r>
      <w:r w:rsidR="00EC4AC0">
        <w:t xml:space="preserve">activity in </w:t>
      </w:r>
      <w:r w:rsidR="00722882">
        <w:t xml:space="preserve">industries </w:t>
      </w:r>
      <w:r>
        <w:t xml:space="preserve">like </w:t>
      </w:r>
      <w:r w:rsidR="00EC4AC0">
        <w:t>Music and Performance</w:t>
      </w:r>
      <w:r w:rsidR="00722882">
        <w:t xml:space="preserve">, and </w:t>
      </w:r>
      <w:r w:rsidR="00722882">
        <w:rPr>
          <w:i/>
          <w:iCs/>
        </w:rPr>
        <w:t xml:space="preserve">indirect </w:t>
      </w:r>
      <w:r w:rsidR="00EC4AC0">
        <w:t xml:space="preserve">activity in </w:t>
      </w:r>
      <w:r w:rsidR="00722882">
        <w:t xml:space="preserve">industries </w:t>
      </w:r>
      <w:r w:rsidR="00EC4AC0">
        <w:t xml:space="preserve">they rely on, such as </w:t>
      </w:r>
      <w:r>
        <w:t>Electronics, whose primary function is not cultural</w:t>
      </w:r>
      <w:r w:rsidR="00722882">
        <w:t xml:space="preserve">. Both </w:t>
      </w:r>
      <w:r w:rsidR="00F17DE3">
        <w:t xml:space="preserve">have a </w:t>
      </w:r>
      <w:r>
        <w:t xml:space="preserve">place; however </w:t>
      </w:r>
      <w:r w:rsidR="00F17DE3">
        <w:t xml:space="preserve">statistics describing </w:t>
      </w:r>
      <w:r w:rsidR="00472AC0">
        <w:t>traditional industries</w:t>
      </w:r>
      <w:r w:rsidR="00F17DE3">
        <w:t xml:space="preserve">—such as Tourism—only report on </w:t>
      </w:r>
      <w:r w:rsidR="00472AC0">
        <w:t xml:space="preserve">direct effects. </w:t>
      </w:r>
      <w:r w:rsidR="00F17DE3">
        <w:t xml:space="preserve">Since the CCI also includes indirect effects, the result is a misleading </w:t>
      </w:r>
      <w:r w:rsidR="00EC4AC0">
        <w:t xml:space="preserve">comparison. </w:t>
      </w:r>
      <w:r w:rsidR="004E7ACF">
        <w:fldChar w:fldCharType="begin"/>
      </w:r>
      <w:r w:rsidR="004E7ACF">
        <w:instrText xml:space="preserve"> REF _Ref66292125 \h </w:instrText>
      </w:r>
      <w:r w:rsidR="004E7ACF">
        <w:fldChar w:fldCharType="separate"/>
      </w:r>
      <w:r w:rsidR="004E7ACF">
        <w:t xml:space="preserve">Figure </w:t>
      </w:r>
      <w:r w:rsidR="004E7ACF">
        <w:rPr>
          <w:noProof/>
        </w:rPr>
        <w:t>3</w:t>
      </w:r>
      <w:r w:rsidR="004E7ACF">
        <w:fldChar w:fldCharType="end"/>
      </w:r>
      <w:r w:rsidR="004E7ACF">
        <w:t xml:space="preserve"> </w:t>
      </w:r>
      <w:r w:rsidR="00F17DE3">
        <w:t xml:space="preserve">offers </w:t>
      </w:r>
      <w:r w:rsidR="004E7ACF">
        <w:t>a</w:t>
      </w:r>
      <w:r w:rsidR="00472AC0">
        <w:t xml:space="preserve"> strictly equivalent</w:t>
      </w:r>
      <w:r w:rsidR="00F17DE3">
        <w:t>,</w:t>
      </w:r>
      <w:r w:rsidR="00472AC0">
        <w:t xml:space="preserve"> fair</w:t>
      </w:r>
      <w:r w:rsidR="00F17DE3">
        <w:t>,</w:t>
      </w:r>
      <w:r w:rsidR="00472AC0">
        <w:t xml:space="preserve"> comparison.</w:t>
      </w:r>
    </w:p>
    <w:p w14:paraId="41006A1E" w14:textId="74D52556" w:rsidR="00CD2D01" w:rsidRDefault="00CD2D01" w:rsidP="00CD2D01">
      <w:pPr>
        <w:pStyle w:val="Caption"/>
        <w:jc w:val="center"/>
      </w:pPr>
      <w:bookmarkStart w:id="3" w:name="_Ref66299131"/>
      <w:r>
        <w:t xml:space="preserve">Figure </w:t>
      </w:r>
      <w:r w:rsidR="00D24092">
        <w:fldChar w:fldCharType="begin"/>
      </w:r>
      <w:r w:rsidR="00D24092">
        <w:instrText xml:space="preserve"> SEQ Figure \* ARABIC </w:instrText>
      </w:r>
      <w:r w:rsidR="00D24092">
        <w:fldChar w:fldCharType="separate"/>
      </w:r>
      <w:r>
        <w:rPr>
          <w:noProof/>
        </w:rPr>
        <w:t>4</w:t>
      </w:r>
      <w:r w:rsidR="00D24092">
        <w:rPr>
          <w:noProof/>
        </w:rPr>
        <w:fldChar w:fldCharType="end"/>
      </w:r>
      <w:bookmarkEnd w:id="3"/>
      <w:r>
        <w:t>: Labour force growth, CCI and non-CCI, 2010-2019</w:t>
      </w:r>
    </w:p>
    <w:p w14:paraId="3C214DD8" w14:textId="7CABF920" w:rsidR="00472AC0" w:rsidRDefault="004E7ACF" w:rsidP="00CD2D01">
      <w:pPr>
        <w:pStyle w:val="NormalNospace"/>
      </w:pPr>
      <w:r>
        <w:drawing>
          <wp:inline distT="0" distB="0" distL="0" distR="0" wp14:anchorId="116CDFD3" wp14:editId="3C53A084">
            <wp:extent cx="4495800" cy="2976562"/>
            <wp:effectExtent l="0" t="0" r="0" b="14605"/>
            <wp:docPr id="5" name="Chart 5">
              <a:extLst xmlns:a="http://schemas.openxmlformats.org/drawingml/2006/main">
                <a:ext uri="{FF2B5EF4-FFF2-40B4-BE49-F238E27FC236}">
                  <a16:creationId xmlns:a16="http://schemas.microsoft.com/office/drawing/2014/main" id="{F95DD088-F29D-43C1-ABE5-C4864D44E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5085F8" w14:textId="77777777" w:rsidR="00CD2D01" w:rsidRPr="005A7E90" w:rsidRDefault="00CD2D01" w:rsidP="00CD2D01">
      <w:pPr>
        <w:pStyle w:val="Notenospace"/>
        <w:jc w:val="center"/>
      </w:pPr>
      <w:r>
        <w:t>Source: Labour Force Monthly Survey, Author calculation. Labour Force is calculated as the average over the year</w:t>
      </w:r>
    </w:p>
    <w:p w14:paraId="358B8063" w14:textId="44778601" w:rsidR="00F17DE3" w:rsidRPr="00F17DE3" w:rsidRDefault="00F17DE3" w:rsidP="00F17DE3">
      <w:r>
        <w:t xml:space="preserve">This also helps provincial administrations. </w:t>
      </w:r>
      <w:r>
        <w:fldChar w:fldCharType="begin"/>
      </w:r>
      <w:r>
        <w:instrText xml:space="preserve"> REF _Ref66299131 \h </w:instrText>
      </w:r>
      <w:r>
        <w:fldChar w:fldCharType="separate"/>
      </w:r>
      <w:r>
        <w:t xml:space="preserve">Figure </w:t>
      </w:r>
      <w:r>
        <w:rPr>
          <w:noProof/>
        </w:rPr>
        <w:t>4</w:t>
      </w:r>
      <w:r>
        <w:fldChar w:fldCharType="end"/>
      </w:r>
      <w:r>
        <w:t xml:space="preserve"> displays the growth of the directly-employed CCI and non-CCI labour force between 2020 and 2019, broken down by province. It can be seen that in </w:t>
      </w:r>
      <w:r>
        <w:rPr>
          <w:i/>
          <w:iCs/>
        </w:rPr>
        <w:t xml:space="preserve">every </w:t>
      </w:r>
      <w:r>
        <w:t>province the CCI labour force grew faster than the non-CCI labour force. In the Northern Provinces, the difference is very marked.</w:t>
      </w:r>
    </w:p>
    <w:p w14:paraId="3444F01F" w14:textId="77777777" w:rsidR="00F17DE3" w:rsidRDefault="00F17DE3" w:rsidP="00F17DE3">
      <w:pPr>
        <w:pStyle w:val="Heading2"/>
        <w:jc w:val="left"/>
      </w:pPr>
      <w:r>
        <w:lastRenderedPageBreak/>
        <w:t>Why industries?</w:t>
      </w:r>
    </w:p>
    <w:p w14:paraId="19C6B923" w14:textId="18E556DE" w:rsidR="00235422" w:rsidRDefault="00F17DE3" w:rsidP="00235422">
      <w:r>
        <w:t xml:space="preserve">All the above offers valuable and easily-accessible information for decision-makers. How do we get there? We start by asking what an industry is. </w:t>
      </w:r>
      <w:r w:rsidR="00235422">
        <w:t xml:space="preserve">Canada, like all modern nations, measures employment and output by asking people what kind of business they work for. If you work on a farm, you’re in agriculture – even if what you actually do is keep the books or mend the fences. If you work in a school, whether you are a janitor, a teacher, or an A-V technician, you’re in the education industry,. </w:t>
      </w:r>
    </w:p>
    <w:p w14:paraId="53BC9A0C" w14:textId="23232482" w:rsidR="00F17DE3" w:rsidRDefault="00235422" w:rsidP="00F17DE3">
      <w:r>
        <w:t xml:space="preserve">An </w:t>
      </w:r>
      <w:r w:rsidR="00F17DE3">
        <w:t>industry is</w:t>
      </w:r>
      <w:r>
        <w:t xml:space="preserve"> just</w:t>
      </w:r>
      <w:r w:rsidR="00F17DE3">
        <w:t xml:space="preserve"> a bunch of enterprises with something in common. The idea is part of everyday speech: we talk about agriculture, manufacture, finance, aerospace, education, and so on, without thinking much about it. All we do, when we use such language, is assign businesses to </w:t>
      </w:r>
      <w:r>
        <w:t xml:space="preserve">mental </w:t>
      </w:r>
      <w:r w:rsidR="00F17DE3">
        <w:t xml:space="preserve">categories. NAICS </w:t>
      </w:r>
      <w:r>
        <w:t>makes this intuitive idea formal</w:t>
      </w:r>
      <w:r w:rsidR="00F17DE3">
        <w:t>: it puts every enterprise in a pigeonhole, depending on its ‘primary’ activity.</w:t>
      </w:r>
      <w:r>
        <w:t xml:space="preserve"> It then attaches a numeric code to it.</w:t>
      </w:r>
    </w:p>
    <w:p w14:paraId="22335229" w14:textId="50FB6C36" w:rsidR="00D668D1" w:rsidRDefault="00F17DE3" w:rsidP="00D668D1">
      <w:r>
        <w:t>This has advantages and disadvantages. Enterprises are what makes the economy tick. If government, or an investor, wants to interact with aerospace, they only need to find the businesses in the ‘aerospace industry’.</w:t>
      </w:r>
      <w:r w:rsidR="005073E1">
        <w:t xml:space="preserve"> </w:t>
      </w:r>
      <w:r w:rsidR="00D668D1">
        <w:t xml:space="preserve">The disadvantage is that the enterprises are interrelated. So, for example, the advertising industry doesn’t just employ video producers but outsources work to specialist video companies. Advertisers </w:t>
      </w:r>
      <w:r w:rsidR="005073E1">
        <w:t xml:space="preserve">and </w:t>
      </w:r>
      <w:r w:rsidR="00D668D1">
        <w:t>video makers</w:t>
      </w:r>
      <w:r w:rsidR="005073E1">
        <w:t xml:space="preserve"> thus </w:t>
      </w:r>
      <w:r w:rsidR="00D668D1">
        <w:t xml:space="preserve">depend on </w:t>
      </w:r>
      <w:r w:rsidR="005073E1">
        <w:t>each other</w:t>
      </w:r>
      <w:r w:rsidR="00D668D1">
        <w:t xml:space="preserve">. The </w:t>
      </w:r>
      <w:r w:rsidR="005073E1">
        <w:t xml:space="preserve">CSA </w:t>
      </w:r>
      <w:r w:rsidR="00D668D1">
        <w:t xml:space="preserve">production chain approach captures such relationships. </w:t>
      </w:r>
    </w:p>
    <w:p w14:paraId="2AD5B14B" w14:textId="0F79F239" w:rsidR="00D668D1" w:rsidRDefault="005073E1" w:rsidP="00D668D1">
      <w:r>
        <w:t xml:space="preserve">But </w:t>
      </w:r>
      <w:r w:rsidR="00D668D1">
        <w:t xml:space="preserve">for many practical purposes this </w:t>
      </w:r>
      <w:r w:rsidR="00235422">
        <w:t>has drawbacks</w:t>
      </w:r>
      <w:r w:rsidR="00D668D1">
        <w:t xml:space="preserve">. It takes </w:t>
      </w:r>
      <w:r w:rsidR="00235422">
        <w:t xml:space="preserve">a long time, and </w:t>
      </w:r>
      <w:r>
        <w:t>leads to potentially misleading comparisons.</w:t>
      </w:r>
      <w:r w:rsidR="00235422">
        <w:t xml:space="preserve"> </w:t>
      </w:r>
      <w:r w:rsidR="00D668D1">
        <w:t xml:space="preserve">The issue here is not that one approach is any better than the other, but for the full picture, we need </w:t>
      </w:r>
      <w:r w:rsidR="00D668D1">
        <w:rPr>
          <w:i/>
          <w:iCs/>
        </w:rPr>
        <w:t>both</w:t>
      </w:r>
      <w:r>
        <w:t xml:space="preserve"> sets of statistics. </w:t>
      </w:r>
      <w:r w:rsidR="00235422">
        <w:t xml:space="preserve">We therefore propose </w:t>
      </w:r>
      <w:r w:rsidR="0097002E">
        <w:t xml:space="preserve">to </w:t>
      </w:r>
      <w:r>
        <w:t>measur</w:t>
      </w:r>
      <w:r w:rsidR="0097002E">
        <w:t>e</w:t>
      </w:r>
      <w:r>
        <w:t xml:space="preserve"> the </w:t>
      </w:r>
      <w:r w:rsidRPr="00235422">
        <w:rPr>
          <w:i/>
          <w:iCs/>
        </w:rPr>
        <w:t>direct</w:t>
      </w:r>
      <w:r>
        <w:t xml:space="preserve"> </w:t>
      </w:r>
      <w:r w:rsidR="00977E0B">
        <w:t>effects</w:t>
      </w:r>
      <w:r>
        <w:t xml:space="preserve"> of Canada’s Cultural and Creative Industries</w:t>
      </w:r>
      <w:r w:rsidR="0097002E">
        <w:t xml:space="preserve">, by identifying those industries whose </w:t>
      </w:r>
      <w:r w:rsidR="0097002E">
        <w:rPr>
          <w:i/>
          <w:iCs/>
        </w:rPr>
        <w:t xml:space="preserve">primary </w:t>
      </w:r>
      <w:r w:rsidR="0097002E">
        <w:t>activity is Cultural or Creative.</w:t>
      </w:r>
    </w:p>
    <w:p w14:paraId="680018EE" w14:textId="6CC63B3D" w:rsidR="001D200B" w:rsidRDefault="001D200B" w:rsidP="001D200B">
      <w:pPr>
        <w:pStyle w:val="Caption"/>
      </w:pPr>
      <w:bookmarkStart w:id="4" w:name="_Ref66347833"/>
      <w:r>
        <w:t xml:space="preserve">Table </w:t>
      </w:r>
      <w:r w:rsidR="00D24092">
        <w:fldChar w:fldCharType="begin"/>
      </w:r>
      <w:r w:rsidR="00D24092">
        <w:instrText xml:space="preserve"> SEQ Table \* ARABIC </w:instrText>
      </w:r>
      <w:r w:rsidR="00D24092">
        <w:fldChar w:fldCharType="separate"/>
      </w:r>
      <w:r w:rsidR="00920469">
        <w:rPr>
          <w:noProof/>
        </w:rPr>
        <w:t>1</w:t>
      </w:r>
      <w:r w:rsidR="00D24092">
        <w:rPr>
          <w:noProof/>
        </w:rPr>
        <w:fldChar w:fldCharType="end"/>
      </w:r>
      <w:bookmarkEnd w:id="4"/>
      <w:r>
        <w:t xml:space="preserve">: </w:t>
      </w:r>
      <w:r w:rsidRPr="000C7D3D">
        <w:t>Candidate components of the creative industries from the four main approaches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976"/>
        <w:gridCol w:w="3402"/>
      </w:tblGrid>
      <w:tr w:rsidR="001D200B" w:rsidRPr="00C00FF2" w14:paraId="7CD2622C" w14:textId="77777777" w:rsidTr="00C00FF2">
        <w:tc>
          <w:tcPr>
            <w:tcW w:w="2689" w:type="dxa"/>
            <w:shd w:val="clear" w:color="auto" w:fill="auto"/>
            <w:noWrap/>
            <w:vAlign w:val="center"/>
            <w:hideMark/>
          </w:tcPr>
          <w:p w14:paraId="66C94E6E" w14:textId="095EEB8B" w:rsidR="001D200B" w:rsidRPr="00C00FF2" w:rsidRDefault="00C10CCD" w:rsidP="0046491E">
            <w:pPr>
              <w:pStyle w:val="NoSpacing"/>
              <w:jc w:val="center"/>
              <w:rPr>
                <w:sz w:val="18"/>
                <w:szCs w:val="18"/>
              </w:rPr>
            </w:pPr>
            <w:r w:rsidRPr="00C00FF2">
              <w:rPr>
                <w:sz w:val="18"/>
                <w:szCs w:val="18"/>
              </w:rPr>
              <w:t>Domain</w:t>
            </w:r>
          </w:p>
        </w:tc>
        <w:tc>
          <w:tcPr>
            <w:tcW w:w="2976" w:type="dxa"/>
            <w:shd w:val="clear" w:color="auto" w:fill="auto"/>
            <w:noWrap/>
            <w:vAlign w:val="bottom"/>
            <w:hideMark/>
          </w:tcPr>
          <w:p w14:paraId="53D2C859" w14:textId="40D01708" w:rsidR="001D200B" w:rsidRPr="00C00FF2" w:rsidRDefault="001D200B" w:rsidP="00C10CCD">
            <w:pPr>
              <w:pStyle w:val="NoSpacing"/>
              <w:jc w:val="center"/>
              <w:rPr>
                <w:sz w:val="18"/>
                <w:szCs w:val="18"/>
              </w:rPr>
            </w:pPr>
            <w:r w:rsidRPr="00C00FF2">
              <w:rPr>
                <w:sz w:val="18"/>
                <w:szCs w:val="18"/>
              </w:rPr>
              <w:t xml:space="preserve">Definitions </w:t>
            </w:r>
            <w:r w:rsidR="00C10CCD" w:rsidRPr="00C00FF2">
              <w:rPr>
                <w:sz w:val="18"/>
                <w:szCs w:val="18"/>
              </w:rPr>
              <w:t xml:space="preserve">where </w:t>
            </w:r>
            <w:r w:rsidRPr="00C00FF2">
              <w:rPr>
                <w:sz w:val="18"/>
                <w:szCs w:val="18"/>
              </w:rPr>
              <w:t>this figures</w:t>
            </w:r>
          </w:p>
        </w:tc>
        <w:tc>
          <w:tcPr>
            <w:tcW w:w="3402" w:type="dxa"/>
            <w:shd w:val="clear" w:color="auto" w:fill="auto"/>
            <w:noWrap/>
            <w:vAlign w:val="center"/>
            <w:hideMark/>
          </w:tcPr>
          <w:p w14:paraId="585CD7DF" w14:textId="673B8B16" w:rsidR="001D200B" w:rsidRPr="00C00FF2" w:rsidRDefault="00E40837" w:rsidP="0046491E">
            <w:pPr>
              <w:pStyle w:val="NoSpacing"/>
              <w:jc w:val="center"/>
              <w:rPr>
                <w:sz w:val="18"/>
                <w:szCs w:val="18"/>
              </w:rPr>
            </w:pPr>
            <w:r w:rsidRPr="00C00FF2">
              <w:rPr>
                <w:sz w:val="18"/>
                <w:szCs w:val="18"/>
              </w:rPr>
              <w:t>CSA domain or sub-domain?</w:t>
            </w:r>
          </w:p>
        </w:tc>
      </w:tr>
      <w:tr w:rsidR="001D200B" w:rsidRPr="00C00FF2" w14:paraId="40A5C401" w14:textId="77777777" w:rsidTr="00C00FF2">
        <w:tc>
          <w:tcPr>
            <w:tcW w:w="2689" w:type="dxa"/>
            <w:shd w:val="clear" w:color="auto" w:fill="auto"/>
            <w:noWrap/>
            <w:vAlign w:val="bottom"/>
            <w:hideMark/>
          </w:tcPr>
          <w:p w14:paraId="2E0D1BDC" w14:textId="77777777" w:rsidR="001D200B" w:rsidRPr="00C00FF2" w:rsidRDefault="001D200B" w:rsidP="0046491E">
            <w:pPr>
              <w:pStyle w:val="NoSpacing"/>
              <w:rPr>
                <w:sz w:val="18"/>
                <w:szCs w:val="18"/>
              </w:rPr>
            </w:pPr>
            <w:r w:rsidRPr="00C00FF2">
              <w:rPr>
                <w:sz w:val="18"/>
                <w:szCs w:val="18"/>
              </w:rPr>
              <w:t>Advertising</w:t>
            </w:r>
          </w:p>
        </w:tc>
        <w:tc>
          <w:tcPr>
            <w:tcW w:w="2976" w:type="dxa"/>
            <w:shd w:val="clear" w:color="auto" w:fill="auto"/>
            <w:noWrap/>
            <w:vAlign w:val="bottom"/>
            <w:hideMark/>
          </w:tcPr>
          <w:p w14:paraId="47F293B9" w14:textId="6C7526D8" w:rsidR="001D200B" w:rsidRPr="00C00FF2" w:rsidRDefault="00C10CCD" w:rsidP="0046491E">
            <w:pPr>
              <w:pStyle w:val="NoSpacing"/>
              <w:rPr>
                <w:sz w:val="18"/>
                <w:szCs w:val="18"/>
              </w:rPr>
            </w:pPr>
            <w:r w:rsidRPr="00C00FF2">
              <w:rPr>
                <w:sz w:val="18"/>
                <w:szCs w:val="18"/>
              </w:rPr>
              <w:t>All four</w:t>
            </w:r>
          </w:p>
        </w:tc>
        <w:tc>
          <w:tcPr>
            <w:tcW w:w="3402" w:type="dxa"/>
            <w:shd w:val="clear" w:color="auto" w:fill="auto"/>
            <w:noWrap/>
            <w:vAlign w:val="bottom"/>
            <w:hideMark/>
          </w:tcPr>
          <w:p w14:paraId="401A0104" w14:textId="338A4D07" w:rsidR="001D200B" w:rsidRPr="00C00FF2" w:rsidRDefault="00E40837" w:rsidP="0046491E">
            <w:pPr>
              <w:pStyle w:val="NoSpacing"/>
              <w:rPr>
                <w:sz w:val="18"/>
                <w:szCs w:val="18"/>
              </w:rPr>
            </w:pPr>
            <w:r w:rsidRPr="00C00FF2">
              <w:rPr>
                <w:sz w:val="18"/>
                <w:szCs w:val="18"/>
              </w:rPr>
              <w:t>Yes</w:t>
            </w:r>
          </w:p>
        </w:tc>
      </w:tr>
      <w:tr w:rsidR="001D200B" w:rsidRPr="00C00FF2" w14:paraId="1657906A" w14:textId="77777777" w:rsidTr="00C00FF2">
        <w:tc>
          <w:tcPr>
            <w:tcW w:w="2689" w:type="dxa"/>
            <w:shd w:val="clear" w:color="auto" w:fill="auto"/>
            <w:noWrap/>
            <w:vAlign w:val="bottom"/>
            <w:hideMark/>
          </w:tcPr>
          <w:p w14:paraId="325D3421" w14:textId="77777777" w:rsidR="001D200B" w:rsidRPr="00C00FF2" w:rsidRDefault="001D200B" w:rsidP="0046491E">
            <w:pPr>
              <w:pStyle w:val="NoSpacing"/>
              <w:rPr>
                <w:sz w:val="18"/>
                <w:szCs w:val="18"/>
              </w:rPr>
            </w:pPr>
            <w:r w:rsidRPr="00C00FF2">
              <w:rPr>
                <w:sz w:val="18"/>
                <w:szCs w:val="18"/>
              </w:rPr>
              <w:t>Film and Video</w:t>
            </w:r>
          </w:p>
        </w:tc>
        <w:tc>
          <w:tcPr>
            <w:tcW w:w="2976" w:type="dxa"/>
            <w:shd w:val="clear" w:color="auto" w:fill="auto"/>
            <w:noWrap/>
            <w:vAlign w:val="bottom"/>
            <w:hideMark/>
          </w:tcPr>
          <w:p w14:paraId="3CA5A0B1" w14:textId="5B79D0E2" w:rsidR="001D200B" w:rsidRPr="00C00FF2" w:rsidRDefault="00C10CCD" w:rsidP="0046491E">
            <w:pPr>
              <w:pStyle w:val="NoSpacing"/>
              <w:rPr>
                <w:sz w:val="18"/>
                <w:szCs w:val="18"/>
                <w:vertAlign w:val="superscript"/>
              </w:rPr>
            </w:pPr>
            <w:r w:rsidRPr="00C00FF2">
              <w:rPr>
                <w:sz w:val="18"/>
                <w:szCs w:val="18"/>
              </w:rPr>
              <w:t>All four</w:t>
            </w:r>
            <w:r w:rsidR="00E40837" w:rsidRPr="00C00FF2">
              <w:rPr>
                <w:sz w:val="18"/>
                <w:szCs w:val="18"/>
                <w:vertAlign w:val="superscript"/>
              </w:rPr>
              <w:t>a</w:t>
            </w:r>
          </w:p>
        </w:tc>
        <w:tc>
          <w:tcPr>
            <w:tcW w:w="3402" w:type="dxa"/>
            <w:shd w:val="clear" w:color="auto" w:fill="auto"/>
            <w:noWrap/>
            <w:vAlign w:val="center"/>
          </w:tcPr>
          <w:p w14:paraId="391283D0" w14:textId="504D7961" w:rsidR="001D200B" w:rsidRPr="00C00FF2" w:rsidRDefault="00E40837" w:rsidP="0046491E">
            <w:pPr>
              <w:pStyle w:val="NoSpacing"/>
              <w:rPr>
                <w:sz w:val="18"/>
                <w:szCs w:val="18"/>
              </w:rPr>
            </w:pPr>
            <w:r w:rsidRPr="00C00FF2">
              <w:rPr>
                <w:sz w:val="18"/>
                <w:szCs w:val="18"/>
              </w:rPr>
              <w:t>Yes</w:t>
            </w:r>
          </w:p>
        </w:tc>
      </w:tr>
      <w:tr w:rsidR="001D200B" w:rsidRPr="00C00FF2" w14:paraId="61A1D4BF" w14:textId="77777777" w:rsidTr="00C00FF2">
        <w:tc>
          <w:tcPr>
            <w:tcW w:w="2689" w:type="dxa"/>
            <w:shd w:val="clear" w:color="auto" w:fill="auto"/>
            <w:noWrap/>
            <w:vAlign w:val="bottom"/>
            <w:hideMark/>
          </w:tcPr>
          <w:p w14:paraId="384C01C8" w14:textId="77777777" w:rsidR="001D200B" w:rsidRPr="00C00FF2" w:rsidRDefault="001D200B" w:rsidP="0046491E">
            <w:pPr>
              <w:pStyle w:val="NoSpacing"/>
              <w:rPr>
                <w:sz w:val="18"/>
                <w:szCs w:val="18"/>
              </w:rPr>
            </w:pPr>
            <w:r w:rsidRPr="00C00FF2">
              <w:rPr>
                <w:sz w:val="18"/>
                <w:szCs w:val="18"/>
              </w:rPr>
              <w:t>Music</w:t>
            </w:r>
          </w:p>
        </w:tc>
        <w:tc>
          <w:tcPr>
            <w:tcW w:w="2976" w:type="dxa"/>
            <w:shd w:val="clear" w:color="auto" w:fill="auto"/>
            <w:noWrap/>
            <w:vAlign w:val="bottom"/>
            <w:hideMark/>
          </w:tcPr>
          <w:p w14:paraId="56ED363D" w14:textId="6DDF3B28" w:rsidR="001D200B" w:rsidRPr="00C00FF2" w:rsidRDefault="00C10CCD" w:rsidP="0046491E">
            <w:pPr>
              <w:pStyle w:val="NoSpacing"/>
              <w:rPr>
                <w:sz w:val="18"/>
                <w:szCs w:val="18"/>
                <w:vertAlign w:val="superscript"/>
              </w:rPr>
            </w:pPr>
            <w:r w:rsidRPr="00C00FF2">
              <w:rPr>
                <w:sz w:val="18"/>
                <w:szCs w:val="18"/>
              </w:rPr>
              <w:t>All four</w:t>
            </w:r>
            <w:r w:rsidR="00E40837" w:rsidRPr="00C00FF2">
              <w:rPr>
                <w:sz w:val="18"/>
                <w:szCs w:val="18"/>
                <w:vertAlign w:val="superscript"/>
              </w:rPr>
              <w:t>b</w:t>
            </w:r>
          </w:p>
        </w:tc>
        <w:tc>
          <w:tcPr>
            <w:tcW w:w="3402" w:type="dxa"/>
            <w:shd w:val="clear" w:color="auto" w:fill="auto"/>
            <w:noWrap/>
            <w:vAlign w:val="center"/>
            <w:hideMark/>
          </w:tcPr>
          <w:p w14:paraId="6546A12B" w14:textId="07200C59" w:rsidR="001D200B" w:rsidRPr="00C00FF2" w:rsidRDefault="00E40837" w:rsidP="0046491E">
            <w:pPr>
              <w:pStyle w:val="NoSpacing"/>
              <w:rPr>
                <w:sz w:val="18"/>
                <w:szCs w:val="18"/>
              </w:rPr>
            </w:pPr>
            <w:r w:rsidRPr="00C00FF2">
              <w:rPr>
                <w:sz w:val="18"/>
                <w:szCs w:val="18"/>
              </w:rPr>
              <w:t>Yes</w:t>
            </w:r>
          </w:p>
        </w:tc>
      </w:tr>
      <w:tr w:rsidR="001D200B" w:rsidRPr="00C00FF2" w14:paraId="05DA698E" w14:textId="77777777" w:rsidTr="00C00FF2">
        <w:tc>
          <w:tcPr>
            <w:tcW w:w="2689" w:type="dxa"/>
            <w:shd w:val="clear" w:color="auto" w:fill="auto"/>
            <w:noWrap/>
            <w:vAlign w:val="bottom"/>
            <w:hideMark/>
          </w:tcPr>
          <w:p w14:paraId="186B9355" w14:textId="77777777" w:rsidR="001D200B" w:rsidRPr="00C00FF2" w:rsidRDefault="001D200B" w:rsidP="0046491E">
            <w:pPr>
              <w:pStyle w:val="NoSpacing"/>
              <w:rPr>
                <w:sz w:val="18"/>
                <w:szCs w:val="18"/>
              </w:rPr>
            </w:pPr>
            <w:r w:rsidRPr="00C00FF2">
              <w:rPr>
                <w:sz w:val="18"/>
                <w:szCs w:val="18"/>
              </w:rPr>
              <w:t>Performing and Visual Arts</w:t>
            </w:r>
          </w:p>
        </w:tc>
        <w:tc>
          <w:tcPr>
            <w:tcW w:w="2976" w:type="dxa"/>
            <w:shd w:val="clear" w:color="auto" w:fill="auto"/>
            <w:noWrap/>
            <w:vAlign w:val="bottom"/>
            <w:hideMark/>
          </w:tcPr>
          <w:p w14:paraId="71FFE597" w14:textId="28A5C8AB" w:rsidR="001D200B" w:rsidRPr="00C00FF2" w:rsidRDefault="00C10CCD" w:rsidP="0046491E">
            <w:pPr>
              <w:pStyle w:val="NoSpacing"/>
              <w:rPr>
                <w:sz w:val="18"/>
                <w:szCs w:val="18"/>
                <w:vertAlign w:val="superscript"/>
              </w:rPr>
            </w:pPr>
            <w:r w:rsidRPr="00C00FF2">
              <w:rPr>
                <w:sz w:val="18"/>
                <w:szCs w:val="18"/>
              </w:rPr>
              <w:t>All four</w:t>
            </w:r>
            <w:r w:rsidR="00E40837" w:rsidRPr="00C00FF2">
              <w:rPr>
                <w:sz w:val="18"/>
                <w:szCs w:val="18"/>
                <w:vertAlign w:val="superscript"/>
              </w:rPr>
              <w:t>c</w:t>
            </w:r>
          </w:p>
        </w:tc>
        <w:tc>
          <w:tcPr>
            <w:tcW w:w="3402" w:type="dxa"/>
            <w:shd w:val="clear" w:color="auto" w:fill="auto"/>
            <w:noWrap/>
            <w:vAlign w:val="center"/>
          </w:tcPr>
          <w:p w14:paraId="0117B72A" w14:textId="43B71530" w:rsidR="001D200B" w:rsidRPr="00C00FF2" w:rsidRDefault="00E40837" w:rsidP="0046491E">
            <w:pPr>
              <w:pStyle w:val="NoSpacing"/>
              <w:rPr>
                <w:sz w:val="18"/>
                <w:szCs w:val="18"/>
              </w:rPr>
            </w:pPr>
            <w:r w:rsidRPr="00C00FF2">
              <w:rPr>
                <w:sz w:val="18"/>
                <w:szCs w:val="18"/>
              </w:rPr>
              <w:t>Yes</w:t>
            </w:r>
          </w:p>
        </w:tc>
      </w:tr>
      <w:tr w:rsidR="001D200B" w:rsidRPr="00C00FF2" w14:paraId="04CA2B1B" w14:textId="77777777" w:rsidTr="00C00FF2">
        <w:tc>
          <w:tcPr>
            <w:tcW w:w="2689" w:type="dxa"/>
            <w:shd w:val="clear" w:color="auto" w:fill="auto"/>
            <w:noWrap/>
            <w:vAlign w:val="bottom"/>
            <w:hideMark/>
          </w:tcPr>
          <w:p w14:paraId="27100EE8" w14:textId="77777777" w:rsidR="001D200B" w:rsidRPr="00C00FF2" w:rsidRDefault="001D200B" w:rsidP="0046491E">
            <w:pPr>
              <w:pStyle w:val="NoSpacing"/>
              <w:rPr>
                <w:sz w:val="18"/>
                <w:szCs w:val="18"/>
              </w:rPr>
            </w:pPr>
            <w:r w:rsidRPr="00C00FF2">
              <w:rPr>
                <w:sz w:val="18"/>
                <w:szCs w:val="18"/>
              </w:rPr>
              <w:t>Publishing</w:t>
            </w:r>
          </w:p>
        </w:tc>
        <w:tc>
          <w:tcPr>
            <w:tcW w:w="2976" w:type="dxa"/>
            <w:shd w:val="clear" w:color="auto" w:fill="auto"/>
            <w:noWrap/>
            <w:vAlign w:val="bottom"/>
            <w:hideMark/>
          </w:tcPr>
          <w:p w14:paraId="2E18A099" w14:textId="31B54DEB" w:rsidR="001D200B" w:rsidRPr="00C00FF2" w:rsidRDefault="00C10CCD" w:rsidP="0046491E">
            <w:pPr>
              <w:pStyle w:val="NoSpacing"/>
              <w:rPr>
                <w:sz w:val="18"/>
                <w:szCs w:val="18"/>
                <w:vertAlign w:val="superscript"/>
              </w:rPr>
            </w:pPr>
            <w:r w:rsidRPr="00C00FF2">
              <w:rPr>
                <w:sz w:val="18"/>
                <w:szCs w:val="18"/>
              </w:rPr>
              <w:t>All four</w:t>
            </w:r>
            <w:r w:rsidR="00E40837" w:rsidRPr="00C00FF2">
              <w:rPr>
                <w:sz w:val="18"/>
                <w:szCs w:val="18"/>
                <w:vertAlign w:val="superscript"/>
              </w:rPr>
              <w:t>d</w:t>
            </w:r>
          </w:p>
        </w:tc>
        <w:tc>
          <w:tcPr>
            <w:tcW w:w="3402" w:type="dxa"/>
            <w:shd w:val="clear" w:color="auto" w:fill="auto"/>
            <w:noWrap/>
            <w:vAlign w:val="center"/>
            <w:hideMark/>
          </w:tcPr>
          <w:p w14:paraId="01D5DE9F" w14:textId="092C337B" w:rsidR="001D200B" w:rsidRPr="00C00FF2" w:rsidRDefault="00E40837" w:rsidP="0046491E">
            <w:pPr>
              <w:pStyle w:val="NoSpacing"/>
              <w:rPr>
                <w:sz w:val="18"/>
                <w:szCs w:val="18"/>
              </w:rPr>
            </w:pPr>
            <w:r w:rsidRPr="00C00FF2">
              <w:rPr>
                <w:sz w:val="18"/>
                <w:szCs w:val="18"/>
              </w:rPr>
              <w:t>Yes</w:t>
            </w:r>
          </w:p>
        </w:tc>
      </w:tr>
      <w:tr w:rsidR="001D200B" w:rsidRPr="00C00FF2" w14:paraId="537759AA" w14:textId="77777777" w:rsidTr="00C00FF2">
        <w:tc>
          <w:tcPr>
            <w:tcW w:w="2689" w:type="dxa"/>
            <w:shd w:val="clear" w:color="auto" w:fill="auto"/>
            <w:noWrap/>
            <w:vAlign w:val="bottom"/>
            <w:hideMark/>
          </w:tcPr>
          <w:p w14:paraId="5AE46285" w14:textId="77777777" w:rsidR="001D200B" w:rsidRPr="00C00FF2" w:rsidRDefault="001D200B" w:rsidP="0046491E">
            <w:pPr>
              <w:pStyle w:val="NoSpacing"/>
              <w:rPr>
                <w:sz w:val="18"/>
                <w:szCs w:val="18"/>
              </w:rPr>
            </w:pPr>
            <w:r w:rsidRPr="00C00FF2">
              <w:rPr>
                <w:sz w:val="18"/>
                <w:szCs w:val="18"/>
              </w:rPr>
              <w:t>Television and radio</w:t>
            </w:r>
          </w:p>
        </w:tc>
        <w:tc>
          <w:tcPr>
            <w:tcW w:w="2976" w:type="dxa"/>
            <w:shd w:val="clear" w:color="auto" w:fill="auto"/>
            <w:noWrap/>
            <w:vAlign w:val="bottom"/>
            <w:hideMark/>
          </w:tcPr>
          <w:p w14:paraId="06A467E2" w14:textId="0007B75A" w:rsidR="001D200B" w:rsidRPr="00C00FF2" w:rsidRDefault="00C10CCD" w:rsidP="0046491E">
            <w:pPr>
              <w:pStyle w:val="NoSpacing"/>
              <w:rPr>
                <w:sz w:val="18"/>
                <w:szCs w:val="18"/>
              </w:rPr>
            </w:pPr>
            <w:r w:rsidRPr="00C00FF2">
              <w:rPr>
                <w:sz w:val="18"/>
                <w:szCs w:val="18"/>
              </w:rPr>
              <w:t>All four</w:t>
            </w:r>
          </w:p>
        </w:tc>
        <w:tc>
          <w:tcPr>
            <w:tcW w:w="3402" w:type="dxa"/>
            <w:shd w:val="clear" w:color="auto" w:fill="auto"/>
            <w:noWrap/>
            <w:vAlign w:val="bottom"/>
            <w:hideMark/>
          </w:tcPr>
          <w:p w14:paraId="6C31F455" w14:textId="509B257A" w:rsidR="001D200B" w:rsidRPr="00C00FF2" w:rsidRDefault="00E40837" w:rsidP="0046491E">
            <w:pPr>
              <w:pStyle w:val="NoSpacing"/>
              <w:rPr>
                <w:sz w:val="18"/>
                <w:szCs w:val="18"/>
              </w:rPr>
            </w:pPr>
            <w:r w:rsidRPr="00C00FF2">
              <w:rPr>
                <w:sz w:val="18"/>
                <w:szCs w:val="18"/>
              </w:rPr>
              <w:t>Yes</w:t>
            </w:r>
          </w:p>
        </w:tc>
      </w:tr>
      <w:tr w:rsidR="001D200B" w:rsidRPr="00C00FF2" w14:paraId="61C6BA4F" w14:textId="77777777" w:rsidTr="00C00FF2">
        <w:tc>
          <w:tcPr>
            <w:tcW w:w="2689" w:type="dxa"/>
            <w:shd w:val="clear" w:color="auto" w:fill="auto"/>
            <w:noWrap/>
            <w:vAlign w:val="bottom"/>
            <w:hideMark/>
          </w:tcPr>
          <w:p w14:paraId="24B7A11B" w14:textId="77777777" w:rsidR="001D200B" w:rsidRPr="00C00FF2" w:rsidRDefault="001D200B" w:rsidP="0046491E">
            <w:pPr>
              <w:pStyle w:val="NoSpacing"/>
              <w:rPr>
                <w:sz w:val="18"/>
                <w:szCs w:val="18"/>
              </w:rPr>
            </w:pPr>
            <w:r w:rsidRPr="00C00FF2">
              <w:rPr>
                <w:sz w:val="18"/>
                <w:szCs w:val="18"/>
              </w:rPr>
              <w:t>Fashion</w:t>
            </w:r>
          </w:p>
        </w:tc>
        <w:tc>
          <w:tcPr>
            <w:tcW w:w="2976" w:type="dxa"/>
            <w:shd w:val="clear" w:color="auto" w:fill="auto"/>
            <w:noWrap/>
            <w:vAlign w:val="bottom"/>
            <w:hideMark/>
          </w:tcPr>
          <w:p w14:paraId="33AC5430" w14:textId="26F4EC2A" w:rsidR="001D200B" w:rsidRPr="00C00FF2" w:rsidRDefault="00C10CCD" w:rsidP="0046491E">
            <w:pPr>
              <w:pStyle w:val="NoSpacing"/>
              <w:rPr>
                <w:sz w:val="18"/>
                <w:szCs w:val="18"/>
              </w:rPr>
            </w:pPr>
            <w:r w:rsidRPr="00C00FF2">
              <w:rPr>
                <w:sz w:val="18"/>
                <w:szCs w:val="18"/>
              </w:rPr>
              <w:t>All four</w:t>
            </w:r>
          </w:p>
        </w:tc>
        <w:tc>
          <w:tcPr>
            <w:tcW w:w="3402" w:type="dxa"/>
            <w:shd w:val="clear" w:color="auto" w:fill="auto"/>
            <w:noWrap/>
            <w:vAlign w:val="center"/>
            <w:hideMark/>
          </w:tcPr>
          <w:p w14:paraId="752684EF" w14:textId="438D694D" w:rsidR="001D200B" w:rsidRPr="00C00FF2" w:rsidRDefault="00E40837" w:rsidP="0046491E">
            <w:pPr>
              <w:pStyle w:val="NoSpacing"/>
              <w:rPr>
                <w:sz w:val="18"/>
                <w:szCs w:val="18"/>
              </w:rPr>
            </w:pPr>
            <w:r w:rsidRPr="00C00FF2">
              <w:rPr>
                <w:sz w:val="18"/>
                <w:szCs w:val="18"/>
              </w:rPr>
              <w:t>Overlaps</w:t>
            </w:r>
          </w:p>
        </w:tc>
      </w:tr>
      <w:tr w:rsidR="001D200B" w:rsidRPr="00C00FF2" w14:paraId="0568ACA6" w14:textId="77777777" w:rsidTr="00C00FF2">
        <w:tc>
          <w:tcPr>
            <w:tcW w:w="2689" w:type="dxa"/>
            <w:shd w:val="clear" w:color="auto" w:fill="auto"/>
            <w:noWrap/>
            <w:vAlign w:val="bottom"/>
            <w:hideMark/>
          </w:tcPr>
          <w:p w14:paraId="1FE661B6" w14:textId="77777777" w:rsidR="001D200B" w:rsidRPr="00C00FF2" w:rsidRDefault="001D200B" w:rsidP="0046491E">
            <w:pPr>
              <w:pStyle w:val="NoSpacing"/>
              <w:rPr>
                <w:sz w:val="18"/>
                <w:szCs w:val="18"/>
              </w:rPr>
            </w:pPr>
            <w:r w:rsidRPr="00C00FF2">
              <w:rPr>
                <w:sz w:val="18"/>
                <w:szCs w:val="18"/>
              </w:rPr>
              <w:t>Video and computer games</w:t>
            </w:r>
          </w:p>
        </w:tc>
        <w:tc>
          <w:tcPr>
            <w:tcW w:w="2976" w:type="dxa"/>
            <w:shd w:val="clear" w:color="auto" w:fill="auto"/>
            <w:noWrap/>
            <w:vAlign w:val="bottom"/>
            <w:hideMark/>
          </w:tcPr>
          <w:p w14:paraId="643F4401" w14:textId="430BA788" w:rsidR="001D200B" w:rsidRPr="00C00FF2" w:rsidRDefault="00E40837" w:rsidP="0046491E">
            <w:pPr>
              <w:pStyle w:val="NoSpacing"/>
              <w:rPr>
                <w:sz w:val="18"/>
                <w:szCs w:val="18"/>
                <w:vertAlign w:val="superscript"/>
              </w:rPr>
            </w:pPr>
            <w:r w:rsidRPr="00C00FF2">
              <w:rPr>
                <w:sz w:val="18"/>
                <w:szCs w:val="18"/>
              </w:rPr>
              <w:t>All four</w:t>
            </w:r>
            <w:r w:rsidRPr="00C00FF2">
              <w:rPr>
                <w:sz w:val="18"/>
                <w:szCs w:val="18"/>
                <w:vertAlign w:val="superscript"/>
              </w:rPr>
              <w:t>e</w:t>
            </w:r>
          </w:p>
        </w:tc>
        <w:tc>
          <w:tcPr>
            <w:tcW w:w="3402" w:type="dxa"/>
            <w:shd w:val="clear" w:color="auto" w:fill="auto"/>
            <w:noWrap/>
            <w:vAlign w:val="bottom"/>
            <w:hideMark/>
          </w:tcPr>
          <w:p w14:paraId="6A20BFBD" w14:textId="10853C94" w:rsidR="001D200B" w:rsidRPr="00C00FF2" w:rsidRDefault="00E40837" w:rsidP="0046491E">
            <w:pPr>
              <w:pStyle w:val="NoSpacing"/>
              <w:rPr>
                <w:sz w:val="18"/>
                <w:szCs w:val="18"/>
              </w:rPr>
            </w:pPr>
            <w:r w:rsidRPr="00C00FF2">
              <w:rPr>
                <w:sz w:val="18"/>
                <w:szCs w:val="18"/>
              </w:rPr>
              <w:t>Yes</w:t>
            </w:r>
          </w:p>
        </w:tc>
      </w:tr>
      <w:tr w:rsidR="001D200B" w:rsidRPr="00C00FF2" w14:paraId="5ED538BC" w14:textId="77777777" w:rsidTr="00C00FF2">
        <w:tc>
          <w:tcPr>
            <w:tcW w:w="2689" w:type="dxa"/>
            <w:shd w:val="clear" w:color="auto" w:fill="auto"/>
            <w:noWrap/>
            <w:vAlign w:val="bottom"/>
            <w:hideMark/>
          </w:tcPr>
          <w:p w14:paraId="1BB420DE" w14:textId="77777777" w:rsidR="001D200B" w:rsidRPr="00C00FF2" w:rsidRDefault="001D200B" w:rsidP="0046491E">
            <w:pPr>
              <w:pStyle w:val="NoSpacing"/>
              <w:rPr>
                <w:sz w:val="18"/>
                <w:szCs w:val="18"/>
              </w:rPr>
            </w:pPr>
            <w:r w:rsidRPr="00C00FF2">
              <w:rPr>
                <w:sz w:val="18"/>
                <w:szCs w:val="18"/>
              </w:rPr>
              <w:t>Architecture</w:t>
            </w:r>
          </w:p>
        </w:tc>
        <w:tc>
          <w:tcPr>
            <w:tcW w:w="2976" w:type="dxa"/>
            <w:shd w:val="clear" w:color="auto" w:fill="auto"/>
            <w:noWrap/>
            <w:vAlign w:val="bottom"/>
            <w:hideMark/>
          </w:tcPr>
          <w:p w14:paraId="685D9FD7" w14:textId="016101CC" w:rsidR="001D200B" w:rsidRPr="00C00FF2" w:rsidRDefault="001D200B" w:rsidP="0046491E">
            <w:pPr>
              <w:pStyle w:val="NoSpacing"/>
              <w:rPr>
                <w:sz w:val="18"/>
                <w:szCs w:val="18"/>
              </w:rPr>
            </w:pPr>
            <w:r w:rsidRPr="00C00FF2">
              <w:rPr>
                <w:sz w:val="18"/>
                <w:szCs w:val="18"/>
              </w:rPr>
              <w:t>DCMS  and CC</w:t>
            </w:r>
          </w:p>
        </w:tc>
        <w:tc>
          <w:tcPr>
            <w:tcW w:w="3402" w:type="dxa"/>
            <w:shd w:val="clear" w:color="auto" w:fill="auto"/>
            <w:noWrap/>
            <w:vAlign w:val="bottom"/>
            <w:hideMark/>
          </w:tcPr>
          <w:p w14:paraId="6AC9E7F9" w14:textId="30C98975" w:rsidR="001D200B" w:rsidRPr="00C00FF2" w:rsidRDefault="00E40837" w:rsidP="0046491E">
            <w:pPr>
              <w:pStyle w:val="NoSpacing"/>
              <w:rPr>
                <w:sz w:val="18"/>
                <w:szCs w:val="18"/>
              </w:rPr>
            </w:pPr>
            <w:r w:rsidRPr="00C00FF2">
              <w:rPr>
                <w:sz w:val="18"/>
                <w:szCs w:val="18"/>
              </w:rPr>
              <w:t>Yes</w:t>
            </w:r>
          </w:p>
        </w:tc>
      </w:tr>
      <w:tr w:rsidR="001D200B" w:rsidRPr="00C00FF2" w14:paraId="768A3347" w14:textId="77777777" w:rsidTr="00C00FF2">
        <w:tc>
          <w:tcPr>
            <w:tcW w:w="2689" w:type="dxa"/>
            <w:shd w:val="clear" w:color="auto" w:fill="auto"/>
            <w:noWrap/>
            <w:vAlign w:val="bottom"/>
            <w:hideMark/>
          </w:tcPr>
          <w:p w14:paraId="34EE791C" w14:textId="77777777" w:rsidR="001D200B" w:rsidRPr="00C00FF2" w:rsidRDefault="001D200B" w:rsidP="0046491E">
            <w:pPr>
              <w:pStyle w:val="NoSpacing"/>
              <w:rPr>
                <w:sz w:val="18"/>
                <w:szCs w:val="18"/>
              </w:rPr>
            </w:pPr>
            <w:r w:rsidRPr="00C00FF2">
              <w:rPr>
                <w:sz w:val="18"/>
                <w:szCs w:val="18"/>
              </w:rPr>
              <w:t>Software</w:t>
            </w:r>
          </w:p>
        </w:tc>
        <w:tc>
          <w:tcPr>
            <w:tcW w:w="2976" w:type="dxa"/>
            <w:shd w:val="clear" w:color="auto" w:fill="auto"/>
            <w:noWrap/>
            <w:vAlign w:val="bottom"/>
            <w:hideMark/>
          </w:tcPr>
          <w:p w14:paraId="3BA907D4" w14:textId="643FB07A" w:rsidR="001D200B" w:rsidRPr="00C00FF2" w:rsidRDefault="001D200B" w:rsidP="0046491E">
            <w:pPr>
              <w:pStyle w:val="NoSpacing"/>
              <w:rPr>
                <w:sz w:val="18"/>
                <w:szCs w:val="18"/>
                <w:vertAlign w:val="superscript"/>
              </w:rPr>
            </w:pPr>
            <w:r w:rsidRPr="00C00FF2">
              <w:rPr>
                <w:sz w:val="18"/>
                <w:szCs w:val="18"/>
              </w:rPr>
              <w:t>DCMS</w:t>
            </w:r>
            <w:r w:rsidR="00E40837" w:rsidRPr="00C00FF2">
              <w:rPr>
                <w:sz w:val="18"/>
                <w:szCs w:val="18"/>
              </w:rPr>
              <w:t xml:space="preserve">, </w:t>
            </w:r>
            <w:r w:rsidRPr="00C00FF2">
              <w:rPr>
                <w:sz w:val="18"/>
                <w:szCs w:val="18"/>
              </w:rPr>
              <w:t>WIPO</w:t>
            </w:r>
            <w:r w:rsidR="00E40837" w:rsidRPr="00C00FF2">
              <w:rPr>
                <w:sz w:val="18"/>
                <w:szCs w:val="18"/>
              </w:rPr>
              <w:t xml:space="preserve"> and ST</w:t>
            </w:r>
            <w:r w:rsidR="00E40837" w:rsidRPr="00C00FF2">
              <w:rPr>
                <w:sz w:val="18"/>
                <w:szCs w:val="18"/>
                <w:vertAlign w:val="superscript"/>
              </w:rPr>
              <w:t>f</w:t>
            </w:r>
          </w:p>
        </w:tc>
        <w:tc>
          <w:tcPr>
            <w:tcW w:w="3402" w:type="dxa"/>
            <w:shd w:val="clear" w:color="auto" w:fill="auto"/>
            <w:noWrap/>
            <w:vAlign w:val="bottom"/>
            <w:hideMark/>
          </w:tcPr>
          <w:p w14:paraId="5E9E35FE" w14:textId="11204BF0" w:rsidR="001D200B" w:rsidRPr="00C00FF2" w:rsidRDefault="00E40837" w:rsidP="0046491E">
            <w:pPr>
              <w:pStyle w:val="NoSpacing"/>
              <w:rPr>
                <w:sz w:val="18"/>
                <w:szCs w:val="18"/>
              </w:rPr>
            </w:pPr>
            <w:r w:rsidRPr="00C00FF2">
              <w:rPr>
                <w:sz w:val="18"/>
                <w:szCs w:val="18"/>
              </w:rPr>
              <w:t>Partly</w:t>
            </w:r>
          </w:p>
        </w:tc>
      </w:tr>
      <w:tr w:rsidR="001D200B" w:rsidRPr="00C00FF2" w14:paraId="695C497C" w14:textId="77777777" w:rsidTr="00C00FF2">
        <w:tc>
          <w:tcPr>
            <w:tcW w:w="2689" w:type="dxa"/>
            <w:shd w:val="clear" w:color="auto" w:fill="auto"/>
            <w:noWrap/>
            <w:vAlign w:val="bottom"/>
            <w:hideMark/>
          </w:tcPr>
          <w:p w14:paraId="2EDE1B1D" w14:textId="77777777" w:rsidR="001D200B" w:rsidRPr="00C00FF2" w:rsidRDefault="001D200B" w:rsidP="0046491E">
            <w:pPr>
              <w:pStyle w:val="NoSpacing"/>
              <w:rPr>
                <w:sz w:val="18"/>
                <w:szCs w:val="18"/>
              </w:rPr>
            </w:pPr>
            <w:r w:rsidRPr="00C00FF2">
              <w:rPr>
                <w:sz w:val="18"/>
                <w:szCs w:val="18"/>
              </w:rPr>
              <w:t>Design</w:t>
            </w:r>
          </w:p>
        </w:tc>
        <w:tc>
          <w:tcPr>
            <w:tcW w:w="2976" w:type="dxa"/>
            <w:shd w:val="clear" w:color="auto" w:fill="auto"/>
            <w:noWrap/>
            <w:vAlign w:val="bottom"/>
            <w:hideMark/>
          </w:tcPr>
          <w:p w14:paraId="19C2E5CE" w14:textId="5A7E4974" w:rsidR="001D200B" w:rsidRPr="00C00FF2" w:rsidRDefault="001D200B" w:rsidP="0046491E">
            <w:pPr>
              <w:pStyle w:val="NoSpacing"/>
              <w:rPr>
                <w:sz w:val="18"/>
                <w:szCs w:val="18"/>
              </w:rPr>
            </w:pPr>
            <w:r w:rsidRPr="00C00FF2">
              <w:rPr>
                <w:sz w:val="18"/>
                <w:szCs w:val="18"/>
              </w:rPr>
              <w:t>DCMS  and CC</w:t>
            </w:r>
          </w:p>
        </w:tc>
        <w:tc>
          <w:tcPr>
            <w:tcW w:w="3402" w:type="dxa"/>
            <w:shd w:val="clear" w:color="auto" w:fill="auto"/>
            <w:noWrap/>
            <w:vAlign w:val="bottom"/>
            <w:hideMark/>
          </w:tcPr>
          <w:p w14:paraId="64F6C123" w14:textId="66469AA2" w:rsidR="001D200B" w:rsidRPr="00C00FF2" w:rsidRDefault="00E40837" w:rsidP="0046491E">
            <w:pPr>
              <w:pStyle w:val="NoSpacing"/>
              <w:rPr>
                <w:sz w:val="18"/>
                <w:szCs w:val="18"/>
              </w:rPr>
            </w:pPr>
            <w:r w:rsidRPr="00C00FF2">
              <w:rPr>
                <w:sz w:val="18"/>
                <w:szCs w:val="18"/>
              </w:rPr>
              <w:t>Yes</w:t>
            </w:r>
          </w:p>
        </w:tc>
      </w:tr>
      <w:tr w:rsidR="00E40837" w:rsidRPr="00C00FF2" w14:paraId="6A07F1EE" w14:textId="77777777" w:rsidTr="00C00FF2">
        <w:tc>
          <w:tcPr>
            <w:tcW w:w="2689" w:type="dxa"/>
            <w:shd w:val="clear" w:color="auto" w:fill="auto"/>
            <w:noWrap/>
            <w:vAlign w:val="bottom"/>
            <w:hideMark/>
          </w:tcPr>
          <w:p w14:paraId="147BF7DC" w14:textId="77777777" w:rsidR="00E40837" w:rsidRPr="00C00FF2" w:rsidRDefault="00E40837" w:rsidP="0046491E">
            <w:pPr>
              <w:pStyle w:val="NoSpacing"/>
              <w:rPr>
                <w:sz w:val="18"/>
                <w:szCs w:val="18"/>
              </w:rPr>
            </w:pPr>
            <w:r w:rsidRPr="00C00FF2">
              <w:rPr>
                <w:sz w:val="18"/>
                <w:szCs w:val="18"/>
              </w:rPr>
              <w:t>Crafts</w:t>
            </w:r>
          </w:p>
        </w:tc>
        <w:tc>
          <w:tcPr>
            <w:tcW w:w="2976" w:type="dxa"/>
            <w:shd w:val="clear" w:color="auto" w:fill="auto"/>
            <w:noWrap/>
            <w:vAlign w:val="bottom"/>
            <w:hideMark/>
          </w:tcPr>
          <w:p w14:paraId="72E07648" w14:textId="5CD41ECC" w:rsidR="00E40837" w:rsidRPr="00C00FF2" w:rsidRDefault="00E40837" w:rsidP="0046491E">
            <w:pPr>
              <w:pStyle w:val="NoSpacing"/>
              <w:rPr>
                <w:sz w:val="18"/>
                <w:szCs w:val="18"/>
                <w:vertAlign w:val="superscript"/>
              </w:rPr>
            </w:pPr>
            <w:r w:rsidRPr="00C00FF2">
              <w:rPr>
                <w:sz w:val="18"/>
                <w:szCs w:val="18"/>
              </w:rPr>
              <w:t>DCMS and ST</w:t>
            </w:r>
            <w:r w:rsidRPr="00C00FF2">
              <w:rPr>
                <w:sz w:val="18"/>
                <w:szCs w:val="18"/>
                <w:vertAlign w:val="superscript"/>
              </w:rPr>
              <w:t>g</w:t>
            </w:r>
          </w:p>
        </w:tc>
        <w:tc>
          <w:tcPr>
            <w:tcW w:w="3402" w:type="dxa"/>
            <w:shd w:val="clear" w:color="auto" w:fill="auto"/>
            <w:noWrap/>
            <w:vAlign w:val="bottom"/>
            <w:hideMark/>
          </w:tcPr>
          <w:p w14:paraId="28268D50" w14:textId="6D922E73" w:rsidR="00E40837" w:rsidRPr="00C00FF2" w:rsidRDefault="00E40837" w:rsidP="0046491E">
            <w:pPr>
              <w:pStyle w:val="NoSpacing"/>
              <w:rPr>
                <w:sz w:val="18"/>
                <w:szCs w:val="18"/>
              </w:rPr>
            </w:pPr>
            <w:r w:rsidRPr="00C00FF2">
              <w:rPr>
                <w:sz w:val="18"/>
                <w:szCs w:val="18"/>
              </w:rPr>
              <w:t>Yes</w:t>
            </w:r>
          </w:p>
        </w:tc>
      </w:tr>
      <w:tr w:rsidR="00E40837" w:rsidRPr="00C00FF2" w14:paraId="2C5EB7B1" w14:textId="77777777" w:rsidTr="00C00FF2">
        <w:tc>
          <w:tcPr>
            <w:tcW w:w="2689" w:type="dxa"/>
            <w:shd w:val="clear" w:color="auto" w:fill="auto"/>
            <w:noWrap/>
            <w:vAlign w:val="bottom"/>
            <w:hideMark/>
          </w:tcPr>
          <w:p w14:paraId="4DD91652" w14:textId="77777777" w:rsidR="00E40837" w:rsidRPr="00C00FF2" w:rsidRDefault="00E40837" w:rsidP="0046491E">
            <w:pPr>
              <w:pStyle w:val="NoSpacing"/>
              <w:rPr>
                <w:sz w:val="18"/>
                <w:szCs w:val="18"/>
              </w:rPr>
            </w:pPr>
            <w:r w:rsidRPr="00C00FF2">
              <w:rPr>
                <w:sz w:val="18"/>
                <w:szCs w:val="18"/>
              </w:rPr>
              <w:t>Art and antiques</w:t>
            </w:r>
          </w:p>
        </w:tc>
        <w:tc>
          <w:tcPr>
            <w:tcW w:w="2976" w:type="dxa"/>
            <w:shd w:val="clear" w:color="auto" w:fill="auto"/>
            <w:noWrap/>
            <w:vAlign w:val="bottom"/>
            <w:hideMark/>
          </w:tcPr>
          <w:p w14:paraId="1C3A1FFB" w14:textId="4588EA3F" w:rsidR="00E40837" w:rsidRPr="00C00FF2" w:rsidRDefault="00E40837" w:rsidP="0046491E">
            <w:pPr>
              <w:pStyle w:val="NoSpacing"/>
              <w:rPr>
                <w:sz w:val="18"/>
                <w:szCs w:val="18"/>
              </w:rPr>
            </w:pPr>
            <w:r w:rsidRPr="00C00FF2">
              <w:rPr>
                <w:sz w:val="18"/>
                <w:szCs w:val="18"/>
              </w:rPr>
              <w:t>DCMS and ST</w:t>
            </w:r>
            <w:r w:rsidRPr="00C00FF2">
              <w:rPr>
                <w:sz w:val="18"/>
                <w:szCs w:val="18"/>
                <w:vertAlign w:val="superscript"/>
              </w:rPr>
              <w:t>g</w:t>
            </w:r>
            <w:r w:rsidRPr="00C00FF2">
              <w:rPr>
                <w:sz w:val="18"/>
                <w:szCs w:val="18"/>
              </w:rPr>
              <w:t xml:space="preserve"> </w:t>
            </w:r>
          </w:p>
        </w:tc>
        <w:tc>
          <w:tcPr>
            <w:tcW w:w="3402" w:type="dxa"/>
            <w:shd w:val="clear" w:color="auto" w:fill="auto"/>
            <w:noWrap/>
            <w:vAlign w:val="bottom"/>
            <w:hideMark/>
          </w:tcPr>
          <w:p w14:paraId="7CE9B200" w14:textId="66461A03" w:rsidR="00E40837" w:rsidRPr="00C00FF2" w:rsidRDefault="00E40837" w:rsidP="0046491E">
            <w:pPr>
              <w:pStyle w:val="NoSpacing"/>
              <w:rPr>
                <w:sz w:val="18"/>
                <w:szCs w:val="18"/>
              </w:rPr>
            </w:pPr>
            <w:r w:rsidRPr="00C00FF2">
              <w:rPr>
                <w:sz w:val="18"/>
                <w:szCs w:val="18"/>
              </w:rPr>
              <w:t>Yes</w:t>
            </w:r>
          </w:p>
        </w:tc>
      </w:tr>
      <w:tr w:rsidR="00306FA3" w:rsidRPr="00C00FF2" w14:paraId="27CA993E" w14:textId="77777777" w:rsidTr="00C00FF2">
        <w:tc>
          <w:tcPr>
            <w:tcW w:w="2689" w:type="dxa"/>
            <w:shd w:val="clear" w:color="auto" w:fill="auto"/>
            <w:noWrap/>
            <w:vAlign w:val="bottom"/>
          </w:tcPr>
          <w:p w14:paraId="7C768A3B" w14:textId="4BE3B95B" w:rsidR="00306FA3" w:rsidRPr="00C00FF2" w:rsidRDefault="00306FA3" w:rsidP="0046491E">
            <w:pPr>
              <w:pStyle w:val="NoSpacing"/>
              <w:rPr>
                <w:sz w:val="18"/>
                <w:szCs w:val="18"/>
              </w:rPr>
            </w:pPr>
            <w:r w:rsidRPr="00C00FF2">
              <w:rPr>
                <w:sz w:val="18"/>
                <w:szCs w:val="18"/>
              </w:rPr>
              <w:t>Museums and libraries</w:t>
            </w:r>
          </w:p>
        </w:tc>
        <w:tc>
          <w:tcPr>
            <w:tcW w:w="2976" w:type="dxa"/>
            <w:shd w:val="clear" w:color="auto" w:fill="auto"/>
            <w:noWrap/>
            <w:vAlign w:val="bottom"/>
          </w:tcPr>
          <w:p w14:paraId="6AA1F284" w14:textId="0B45C9A1" w:rsidR="00306FA3" w:rsidRPr="00C00FF2" w:rsidRDefault="00306FA3" w:rsidP="0046491E">
            <w:pPr>
              <w:pStyle w:val="NoSpacing"/>
              <w:rPr>
                <w:sz w:val="18"/>
                <w:szCs w:val="18"/>
              </w:rPr>
            </w:pPr>
            <w:r w:rsidRPr="00C00FF2">
              <w:rPr>
                <w:sz w:val="18"/>
                <w:szCs w:val="18"/>
              </w:rPr>
              <w:t>DCMS</w:t>
            </w:r>
            <w:r w:rsidR="00E40837" w:rsidRPr="00C00FF2">
              <w:rPr>
                <w:sz w:val="18"/>
                <w:szCs w:val="18"/>
              </w:rPr>
              <w:t xml:space="preserve"> and </w:t>
            </w:r>
            <w:r w:rsidRPr="00C00FF2">
              <w:rPr>
                <w:sz w:val="18"/>
                <w:szCs w:val="18"/>
              </w:rPr>
              <w:t>CC</w:t>
            </w:r>
          </w:p>
        </w:tc>
        <w:tc>
          <w:tcPr>
            <w:tcW w:w="3402" w:type="dxa"/>
            <w:shd w:val="clear" w:color="auto" w:fill="auto"/>
            <w:noWrap/>
            <w:vAlign w:val="bottom"/>
          </w:tcPr>
          <w:p w14:paraId="61E1A02C" w14:textId="44CC6F1B" w:rsidR="00306FA3" w:rsidRPr="00C00FF2" w:rsidRDefault="00E40837" w:rsidP="0046491E">
            <w:pPr>
              <w:pStyle w:val="NoSpacing"/>
              <w:rPr>
                <w:sz w:val="18"/>
                <w:szCs w:val="18"/>
              </w:rPr>
            </w:pPr>
            <w:r w:rsidRPr="00C00FF2">
              <w:rPr>
                <w:sz w:val="18"/>
                <w:szCs w:val="18"/>
              </w:rPr>
              <w:t>Yes</w:t>
            </w:r>
          </w:p>
        </w:tc>
      </w:tr>
      <w:tr w:rsidR="001D200B" w:rsidRPr="00C00FF2" w14:paraId="5CFBEDC6" w14:textId="77777777" w:rsidTr="00C00FF2">
        <w:tc>
          <w:tcPr>
            <w:tcW w:w="2689" w:type="dxa"/>
            <w:tcBorders>
              <w:bottom w:val="single" w:sz="4" w:space="0" w:color="auto"/>
            </w:tcBorders>
            <w:shd w:val="clear" w:color="auto" w:fill="auto"/>
            <w:noWrap/>
            <w:vAlign w:val="bottom"/>
            <w:hideMark/>
          </w:tcPr>
          <w:p w14:paraId="48B9C75C" w14:textId="77777777" w:rsidR="001D200B" w:rsidRPr="00C00FF2" w:rsidRDefault="001D200B" w:rsidP="0046491E">
            <w:pPr>
              <w:pStyle w:val="NoSpacing"/>
              <w:rPr>
                <w:sz w:val="18"/>
                <w:szCs w:val="18"/>
              </w:rPr>
            </w:pPr>
            <w:r w:rsidRPr="00C00FF2">
              <w:rPr>
                <w:sz w:val="18"/>
                <w:szCs w:val="18"/>
              </w:rPr>
              <w:t>Collecting Societies</w:t>
            </w:r>
          </w:p>
        </w:tc>
        <w:tc>
          <w:tcPr>
            <w:tcW w:w="2976" w:type="dxa"/>
            <w:tcBorders>
              <w:bottom w:val="single" w:sz="4" w:space="0" w:color="auto"/>
            </w:tcBorders>
            <w:shd w:val="clear" w:color="auto" w:fill="auto"/>
            <w:noWrap/>
            <w:vAlign w:val="bottom"/>
            <w:hideMark/>
          </w:tcPr>
          <w:p w14:paraId="1A21E7E5" w14:textId="77777777" w:rsidR="001D200B" w:rsidRPr="00C00FF2" w:rsidRDefault="001D200B" w:rsidP="0046491E">
            <w:pPr>
              <w:pStyle w:val="NoSpacing"/>
              <w:rPr>
                <w:sz w:val="18"/>
                <w:szCs w:val="18"/>
              </w:rPr>
            </w:pPr>
            <w:r w:rsidRPr="00C00FF2">
              <w:rPr>
                <w:sz w:val="18"/>
                <w:szCs w:val="18"/>
              </w:rPr>
              <w:t>WIPO</w:t>
            </w:r>
          </w:p>
        </w:tc>
        <w:tc>
          <w:tcPr>
            <w:tcW w:w="3402" w:type="dxa"/>
            <w:tcBorders>
              <w:bottom w:val="single" w:sz="4" w:space="0" w:color="auto"/>
            </w:tcBorders>
            <w:shd w:val="clear" w:color="auto" w:fill="auto"/>
            <w:noWrap/>
            <w:vAlign w:val="bottom"/>
            <w:hideMark/>
          </w:tcPr>
          <w:p w14:paraId="21C9FD02" w14:textId="77777777" w:rsidR="001D200B" w:rsidRPr="00C00FF2" w:rsidRDefault="001D200B" w:rsidP="0046491E">
            <w:pPr>
              <w:pStyle w:val="NoSpacing"/>
              <w:rPr>
                <w:sz w:val="18"/>
                <w:szCs w:val="18"/>
              </w:rPr>
            </w:pPr>
          </w:p>
        </w:tc>
      </w:tr>
      <w:tr w:rsidR="00306FA3" w:rsidRPr="00C00FF2" w14:paraId="19A4EFAA" w14:textId="77777777" w:rsidTr="00C00FF2">
        <w:tc>
          <w:tcPr>
            <w:tcW w:w="2689" w:type="dxa"/>
            <w:tcBorders>
              <w:bottom w:val="single" w:sz="12" w:space="0" w:color="auto"/>
            </w:tcBorders>
            <w:shd w:val="clear" w:color="auto" w:fill="auto"/>
            <w:noWrap/>
            <w:vAlign w:val="bottom"/>
            <w:hideMark/>
          </w:tcPr>
          <w:p w14:paraId="47DD99AC" w14:textId="77777777" w:rsidR="00306FA3" w:rsidRPr="00C00FF2" w:rsidRDefault="00306FA3" w:rsidP="00306FA3">
            <w:pPr>
              <w:pStyle w:val="NoSpacing"/>
              <w:rPr>
                <w:sz w:val="18"/>
                <w:szCs w:val="18"/>
              </w:rPr>
            </w:pPr>
            <w:r w:rsidRPr="00C00FF2">
              <w:rPr>
                <w:sz w:val="18"/>
                <w:szCs w:val="18"/>
              </w:rPr>
              <w:t>Consumer electronics</w:t>
            </w:r>
          </w:p>
        </w:tc>
        <w:tc>
          <w:tcPr>
            <w:tcW w:w="2976" w:type="dxa"/>
            <w:tcBorders>
              <w:bottom w:val="single" w:sz="12" w:space="0" w:color="auto"/>
            </w:tcBorders>
            <w:shd w:val="clear" w:color="auto" w:fill="auto"/>
            <w:noWrap/>
            <w:vAlign w:val="bottom"/>
            <w:hideMark/>
          </w:tcPr>
          <w:p w14:paraId="1B5D4609" w14:textId="77777777" w:rsidR="00306FA3" w:rsidRPr="00C00FF2" w:rsidRDefault="00306FA3" w:rsidP="00306FA3">
            <w:pPr>
              <w:pStyle w:val="NoSpacing"/>
              <w:rPr>
                <w:sz w:val="18"/>
                <w:szCs w:val="18"/>
              </w:rPr>
            </w:pPr>
            <w:r w:rsidRPr="00C00FF2">
              <w:rPr>
                <w:sz w:val="18"/>
                <w:szCs w:val="18"/>
              </w:rPr>
              <w:t>WIPO</w:t>
            </w:r>
          </w:p>
        </w:tc>
        <w:tc>
          <w:tcPr>
            <w:tcW w:w="3402" w:type="dxa"/>
            <w:tcBorders>
              <w:bottom w:val="single" w:sz="12" w:space="0" w:color="auto"/>
            </w:tcBorders>
            <w:shd w:val="clear" w:color="auto" w:fill="auto"/>
            <w:noWrap/>
            <w:vAlign w:val="bottom"/>
            <w:hideMark/>
          </w:tcPr>
          <w:p w14:paraId="645485FC" w14:textId="77777777" w:rsidR="00306FA3" w:rsidRPr="00C00FF2" w:rsidRDefault="00306FA3" w:rsidP="00306FA3">
            <w:pPr>
              <w:pStyle w:val="NoSpacing"/>
              <w:rPr>
                <w:sz w:val="18"/>
                <w:szCs w:val="18"/>
              </w:rPr>
            </w:pPr>
          </w:p>
        </w:tc>
      </w:tr>
      <w:tr w:rsidR="008B5800" w:rsidRPr="00C00FF2" w14:paraId="3D96207A" w14:textId="77777777" w:rsidTr="00C00FF2">
        <w:tc>
          <w:tcPr>
            <w:tcW w:w="2689" w:type="dxa"/>
            <w:tcBorders>
              <w:top w:val="single" w:sz="12" w:space="0" w:color="auto"/>
            </w:tcBorders>
            <w:shd w:val="clear" w:color="auto" w:fill="auto"/>
            <w:noWrap/>
            <w:vAlign w:val="bottom"/>
          </w:tcPr>
          <w:p w14:paraId="6D8F4C9F" w14:textId="1923DE5E" w:rsidR="008B5800" w:rsidRPr="00C00FF2" w:rsidRDefault="008B5800" w:rsidP="00306FA3">
            <w:pPr>
              <w:pStyle w:val="NoSpacing"/>
              <w:rPr>
                <w:sz w:val="18"/>
                <w:szCs w:val="18"/>
              </w:rPr>
            </w:pPr>
            <w:r w:rsidRPr="00C00FF2">
              <w:rPr>
                <w:sz w:val="18"/>
                <w:szCs w:val="18"/>
              </w:rPr>
              <w:t>Governance</w:t>
            </w:r>
          </w:p>
        </w:tc>
        <w:tc>
          <w:tcPr>
            <w:tcW w:w="2976" w:type="dxa"/>
            <w:tcBorders>
              <w:top w:val="single" w:sz="12" w:space="0" w:color="auto"/>
            </w:tcBorders>
            <w:shd w:val="clear" w:color="auto" w:fill="auto"/>
            <w:noWrap/>
            <w:vAlign w:val="bottom"/>
          </w:tcPr>
          <w:p w14:paraId="2D7B54B1" w14:textId="32D706E6" w:rsidR="008B5800" w:rsidRPr="00C00FF2" w:rsidRDefault="008B5800" w:rsidP="00306FA3">
            <w:pPr>
              <w:pStyle w:val="NoSpacing"/>
              <w:rPr>
                <w:sz w:val="18"/>
                <w:szCs w:val="18"/>
              </w:rPr>
            </w:pPr>
            <w:r w:rsidRPr="00C00FF2">
              <w:rPr>
                <w:sz w:val="18"/>
                <w:szCs w:val="18"/>
              </w:rPr>
              <w:t>No</w:t>
            </w:r>
          </w:p>
        </w:tc>
        <w:tc>
          <w:tcPr>
            <w:tcW w:w="3402" w:type="dxa"/>
            <w:tcBorders>
              <w:top w:val="single" w:sz="12" w:space="0" w:color="auto"/>
            </w:tcBorders>
            <w:shd w:val="clear" w:color="auto" w:fill="auto"/>
            <w:noWrap/>
            <w:vAlign w:val="bottom"/>
          </w:tcPr>
          <w:p w14:paraId="6F6CD78D" w14:textId="10ED4FB6" w:rsidR="008B5800" w:rsidRPr="00C00FF2" w:rsidRDefault="008B5800" w:rsidP="00306FA3">
            <w:pPr>
              <w:pStyle w:val="NoSpacing"/>
              <w:rPr>
                <w:sz w:val="18"/>
                <w:szCs w:val="18"/>
              </w:rPr>
            </w:pPr>
            <w:r w:rsidRPr="00C00FF2">
              <w:rPr>
                <w:sz w:val="18"/>
                <w:szCs w:val="18"/>
              </w:rPr>
              <w:t>Yes</w:t>
            </w:r>
          </w:p>
        </w:tc>
      </w:tr>
      <w:tr w:rsidR="008B5800" w:rsidRPr="00C00FF2" w14:paraId="07BB5158" w14:textId="77777777" w:rsidTr="00C00FF2">
        <w:tc>
          <w:tcPr>
            <w:tcW w:w="2689" w:type="dxa"/>
            <w:shd w:val="clear" w:color="auto" w:fill="auto"/>
            <w:noWrap/>
            <w:vAlign w:val="bottom"/>
          </w:tcPr>
          <w:p w14:paraId="34AA5275" w14:textId="606CA249" w:rsidR="008B5800" w:rsidRPr="00C00FF2" w:rsidRDefault="008B5800" w:rsidP="00306FA3">
            <w:pPr>
              <w:pStyle w:val="NoSpacing"/>
              <w:rPr>
                <w:sz w:val="18"/>
                <w:szCs w:val="18"/>
              </w:rPr>
            </w:pPr>
            <w:r w:rsidRPr="00C00FF2">
              <w:rPr>
                <w:sz w:val="18"/>
                <w:szCs w:val="18"/>
              </w:rPr>
              <w:t>Education</w:t>
            </w:r>
            <w:r w:rsidR="00736FA2" w:rsidRPr="00C00FF2">
              <w:rPr>
                <w:sz w:val="18"/>
                <w:szCs w:val="18"/>
              </w:rPr>
              <w:t xml:space="preserve"> and Training</w:t>
            </w:r>
          </w:p>
        </w:tc>
        <w:tc>
          <w:tcPr>
            <w:tcW w:w="2976" w:type="dxa"/>
            <w:shd w:val="clear" w:color="auto" w:fill="auto"/>
            <w:noWrap/>
            <w:vAlign w:val="bottom"/>
          </w:tcPr>
          <w:p w14:paraId="052A248E" w14:textId="429AC434" w:rsidR="008B5800" w:rsidRPr="00C00FF2" w:rsidRDefault="008B5800" w:rsidP="00306FA3">
            <w:pPr>
              <w:pStyle w:val="NoSpacing"/>
              <w:rPr>
                <w:sz w:val="18"/>
                <w:szCs w:val="18"/>
                <w:vertAlign w:val="superscript"/>
              </w:rPr>
            </w:pPr>
            <w:r w:rsidRPr="00C00FF2">
              <w:rPr>
                <w:sz w:val="18"/>
                <w:szCs w:val="18"/>
              </w:rPr>
              <w:t>Overlaps all four</w:t>
            </w:r>
            <w:r w:rsidR="00736FA2" w:rsidRPr="00C00FF2">
              <w:rPr>
                <w:sz w:val="18"/>
                <w:szCs w:val="18"/>
                <w:vertAlign w:val="superscript"/>
              </w:rPr>
              <w:t>h</w:t>
            </w:r>
          </w:p>
        </w:tc>
        <w:tc>
          <w:tcPr>
            <w:tcW w:w="3402" w:type="dxa"/>
            <w:shd w:val="clear" w:color="auto" w:fill="auto"/>
            <w:noWrap/>
            <w:vAlign w:val="bottom"/>
          </w:tcPr>
          <w:p w14:paraId="3CC90B17" w14:textId="7432BA3F" w:rsidR="008B5800" w:rsidRPr="00C00FF2" w:rsidRDefault="008B5800" w:rsidP="00306FA3">
            <w:pPr>
              <w:pStyle w:val="NoSpacing"/>
              <w:rPr>
                <w:sz w:val="18"/>
                <w:szCs w:val="18"/>
              </w:rPr>
            </w:pPr>
            <w:r w:rsidRPr="00C00FF2">
              <w:rPr>
                <w:sz w:val="18"/>
                <w:szCs w:val="18"/>
              </w:rPr>
              <w:t>Yes</w:t>
            </w:r>
          </w:p>
        </w:tc>
      </w:tr>
      <w:tr w:rsidR="008B5800" w:rsidRPr="00C00FF2" w14:paraId="6E872A33" w14:textId="77777777" w:rsidTr="00C00FF2">
        <w:tc>
          <w:tcPr>
            <w:tcW w:w="2689" w:type="dxa"/>
            <w:shd w:val="clear" w:color="auto" w:fill="auto"/>
            <w:noWrap/>
            <w:vAlign w:val="bottom"/>
          </w:tcPr>
          <w:p w14:paraId="1A42CCC7" w14:textId="795A59EF" w:rsidR="008B5800" w:rsidRPr="00C00FF2" w:rsidRDefault="008B5800" w:rsidP="00306FA3">
            <w:pPr>
              <w:pStyle w:val="NoSpacing"/>
              <w:rPr>
                <w:sz w:val="18"/>
                <w:szCs w:val="18"/>
              </w:rPr>
            </w:pPr>
            <w:r w:rsidRPr="00C00FF2">
              <w:rPr>
                <w:sz w:val="18"/>
                <w:szCs w:val="18"/>
              </w:rPr>
              <w:t>Multi-domain</w:t>
            </w:r>
          </w:p>
        </w:tc>
        <w:tc>
          <w:tcPr>
            <w:tcW w:w="2976" w:type="dxa"/>
            <w:shd w:val="clear" w:color="auto" w:fill="auto"/>
            <w:noWrap/>
            <w:vAlign w:val="bottom"/>
          </w:tcPr>
          <w:p w14:paraId="0FB6B8A0" w14:textId="600E5BEF" w:rsidR="008B5800" w:rsidRPr="00C00FF2" w:rsidRDefault="008B5800" w:rsidP="00306FA3">
            <w:pPr>
              <w:pStyle w:val="NoSpacing"/>
              <w:rPr>
                <w:sz w:val="18"/>
                <w:szCs w:val="18"/>
                <w:vertAlign w:val="superscript"/>
              </w:rPr>
            </w:pPr>
            <w:r w:rsidRPr="00C00FF2">
              <w:rPr>
                <w:sz w:val="18"/>
                <w:szCs w:val="18"/>
              </w:rPr>
              <w:t>Overlaps all four</w:t>
            </w:r>
            <w:r w:rsidR="00736FA2" w:rsidRPr="00C00FF2">
              <w:rPr>
                <w:sz w:val="18"/>
                <w:szCs w:val="18"/>
                <w:vertAlign w:val="superscript"/>
              </w:rPr>
              <w:t>h</w:t>
            </w:r>
          </w:p>
        </w:tc>
        <w:tc>
          <w:tcPr>
            <w:tcW w:w="3402" w:type="dxa"/>
            <w:shd w:val="clear" w:color="auto" w:fill="auto"/>
            <w:noWrap/>
            <w:vAlign w:val="bottom"/>
          </w:tcPr>
          <w:p w14:paraId="6FD58CCB" w14:textId="338CD1C8" w:rsidR="008B5800" w:rsidRPr="00C00FF2" w:rsidRDefault="008B5800" w:rsidP="00306FA3">
            <w:pPr>
              <w:pStyle w:val="NoSpacing"/>
              <w:rPr>
                <w:sz w:val="18"/>
                <w:szCs w:val="18"/>
              </w:rPr>
            </w:pPr>
            <w:r w:rsidRPr="00C00FF2">
              <w:rPr>
                <w:sz w:val="18"/>
                <w:szCs w:val="18"/>
              </w:rPr>
              <w:t>Yes</w:t>
            </w:r>
          </w:p>
        </w:tc>
      </w:tr>
    </w:tbl>
    <w:p w14:paraId="58F90F28" w14:textId="3BDF21D5" w:rsidR="00E40837" w:rsidRPr="00736FA2" w:rsidRDefault="00E40837" w:rsidP="00E40837">
      <w:pPr>
        <w:pStyle w:val="NoSpacing"/>
        <w:rPr>
          <w:sz w:val="18"/>
          <w:szCs w:val="18"/>
        </w:rPr>
      </w:pPr>
      <w:r w:rsidRPr="00736FA2">
        <w:rPr>
          <w:sz w:val="18"/>
          <w:szCs w:val="18"/>
          <w:vertAlign w:val="superscript"/>
        </w:rPr>
        <w:t>a</w:t>
      </w:r>
      <w:r w:rsidRPr="00736FA2">
        <w:rPr>
          <w:sz w:val="18"/>
          <w:szCs w:val="18"/>
        </w:rPr>
        <w:t xml:space="preserve"> ST and CC refer only to ‘Film'</w:t>
      </w:r>
    </w:p>
    <w:p w14:paraId="7A21B062" w14:textId="4528FCF7" w:rsidR="00E40837" w:rsidRPr="00736FA2" w:rsidRDefault="00E40837" w:rsidP="00E40837">
      <w:pPr>
        <w:pStyle w:val="NoSpacing"/>
        <w:rPr>
          <w:sz w:val="18"/>
          <w:szCs w:val="18"/>
        </w:rPr>
      </w:pPr>
      <w:r w:rsidRPr="00736FA2">
        <w:rPr>
          <w:sz w:val="18"/>
          <w:szCs w:val="18"/>
          <w:vertAlign w:val="superscript"/>
        </w:rPr>
        <w:t>b</w:t>
      </w:r>
      <w:r w:rsidRPr="00736FA2">
        <w:rPr>
          <w:sz w:val="18"/>
          <w:szCs w:val="18"/>
        </w:rPr>
        <w:t xml:space="preserve"> CC adds ‘Sound Recording</w:t>
      </w:r>
    </w:p>
    <w:p w14:paraId="1DD5A54D" w14:textId="69A03AF7" w:rsidR="00E40837" w:rsidRPr="00736FA2" w:rsidRDefault="00E40837" w:rsidP="00E40837">
      <w:pPr>
        <w:pStyle w:val="NoSpacing"/>
        <w:rPr>
          <w:sz w:val="18"/>
          <w:szCs w:val="18"/>
        </w:rPr>
      </w:pPr>
      <w:r w:rsidRPr="00736FA2">
        <w:rPr>
          <w:sz w:val="18"/>
          <w:szCs w:val="18"/>
          <w:vertAlign w:val="superscript"/>
        </w:rPr>
        <w:t xml:space="preserve">c </w:t>
      </w:r>
      <w:r w:rsidRPr="00736FA2">
        <w:rPr>
          <w:sz w:val="18"/>
          <w:szCs w:val="18"/>
        </w:rPr>
        <w:t>ST refers to 'Creative Arts'</w:t>
      </w:r>
    </w:p>
    <w:p w14:paraId="4302FF28" w14:textId="610DB7E7" w:rsidR="00E40837" w:rsidRPr="00736FA2" w:rsidRDefault="00E40837" w:rsidP="00E40837">
      <w:pPr>
        <w:pStyle w:val="NoSpacing"/>
        <w:rPr>
          <w:sz w:val="18"/>
          <w:szCs w:val="18"/>
        </w:rPr>
      </w:pPr>
      <w:r w:rsidRPr="00736FA2">
        <w:rPr>
          <w:sz w:val="18"/>
          <w:szCs w:val="18"/>
          <w:vertAlign w:val="superscript"/>
        </w:rPr>
        <w:t>d</w:t>
      </w:r>
      <w:r w:rsidRPr="00736FA2">
        <w:rPr>
          <w:sz w:val="18"/>
          <w:szCs w:val="18"/>
        </w:rPr>
        <w:t xml:space="preserve"> CC refers to 'Literature'</w:t>
      </w:r>
    </w:p>
    <w:p w14:paraId="6654FB99" w14:textId="0D1DAADD" w:rsidR="00E40837" w:rsidRPr="00736FA2" w:rsidRDefault="00E40837" w:rsidP="00E40837">
      <w:pPr>
        <w:pStyle w:val="NoSpacing"/>
        <w:rPr>
          <w:sz w:val="18"/>
          <w:szCs w:val="18"/>
        </w:rPr>
      </w:pPr>
      <w:r w:rsidRPr="00736FA2">
        <w:rPr>
          <w:sz w:val="18"/>
          <w:szCs w:val="18"/>
          <w:vertAlign w:val="superscript"/>
        </w:rPr>
        <w:t>e</w:t>
      </w:r>
      <w:r w:rsidRPr="00736FA2">
        <w:rPr>
          <w:sz w:val="18"/>
          <w:szCs w:val="18"/>
        </w:rPr>
        <w:t xml:space="preserve"> WIPO omits games, but this must be an oversight</w:t>
      </w:r>
    </w:p>
    <w:p w14:paraId="4630AA17" w14:textId="7835B45B" w:rsidR="00E40837" w:rsidRPr="00736FA2" w:rsidRDefault="00E40837" w:rsidP="00E40837">
      <w:pPr>
        <w:pStyle w:val="NoSpacing"/>
        <w:rPr>
          <w:sz w:val="18"/>
          <w:szCs w:val="18"/>
        </w:rPr>
      </w:pPr>
      <w:r w:rsidRPr="00736FA2">
        <w:rPr>
          <w:sz w:val="18"/>
          <w:szCs w:val="18"/>
          <w:vertAlign w:val="superscript"/>
        </w:rPr>
        <w:t>f</w:t>
      </w:r>
      <w:r w:rsidRPr="00736FA2">
        <w:rPr>
          <w:sz w:val="18"/>
          <w:szCs w:val="18"/>
        </w:rPr>
        <w:t xml:space="preserve"> ST includes only ‘Internet’</w:t>
      </w:r>
    </w:p>
    <w:p w14:paraId="3F5506D0" w14:textId="4665D821" w:rsidR="00E40837" w:rsidRPr="00736FA2" w:rsidRDefault="00E40837" w:rsidP="00E40837">
      <w:pPr>
        <w:pStyle w:val="NoSpacing"/>
        <w:rPr>
          <w:sz w:val="18"/>
          <w:szCs w:val="18"/>
        </w:rPr>
      </w:pPr>
      <w:r w:rsidRPr="00736FA2">
        <w:rPr>
          <w:sz w:val="18"/>
          <w:szCs w:val="18"/>
          <w:vertAlign w:val="superscript"/>
        </w:rPr>
        <w:t>g</w:t>
      </w:r>
      <w:r w:rsidRPr="00736FA2">
        <w:rPr>
          <w:sz w:val="18"/>
          <w:szCs w:val="18"/>
        </w:rPr>
        <w:t xml:space="preserve"> Crafts and art are missing from the ST model: this must be an oversight</w:t>
      </w:r>
    </w:p>
    <w:p w14:paraId="4C2150A4" w14:textId="5570B64C" w:rsidR="00736FA2" w:rsidRPr="00736FA2" w:rsidRDefault="00736FA2" w:rsidP="00E40837">
      <w:pPr>
        <w:pStyle w:val="NoSpacing"/>
        <w:rPr>
          <w:sz w:val="18"/>
          <w:szCs w:val="18"/>
        </w:rPr>
      </w:pPr>
      <w:r w:rsidRPr="00736FA2">
        <w:rPr>
          <w:sz w:val="18"/>
          <w:szCs w:val="18"/>
          <w:vertAlign w:val="superscript"/>
        </w:rPr>
        <w:t>h</w:t>
      </w:r>
      <w:r w:rsidRPr="00736FA2">
        <w:rPr>
          <w:sz w:val="18"/>
          <w:szCs w:val="18"/>
        </w:rPr>
        <w:t xml:space="preserve"> The CSA education and governance domains are restricted to specifically cultural components</w:t>
      </w:r>
    </w:p>
    <w:p w14:paraId="49CDB5E9" w14:textId="77777777" w:rsidR="00C00FF2" w:rsidRDefault="00C00FF2" w:rsidP="00C00FF2">
      <w:pPr>
        <w:pStyle w:val="Heading2"/>
        <w:jc w:val="left"/>
      </w:pPr>
      <w:r>
        <w:lastRenderedPageBreak/>
        <w:t>What is a cultural industry?</w:t>
      </w:r>
    </w:p>
    <w:p w14:paraId="73C880FC" w14:textId="77777777" w:rsidR="00C00FF2" w:rsidRDefault="00C00FF2" w:rsidP="00C00FF2">
      <w:r>
        <w:t xml:space="preserve">At first sight, it might seem difficult and contentious to decide whether an industry is ‘cultural’ or ‘creative’. Indeed, many reams of paper have been devoted to disputing how it should be done. It’s therefore surprising to find that there is quite widespread agreement, in </w:t>
      </w:r>
      <w:r>
        <w:rPr>
          <w:i/>
          <w:iCs/>
        </w:rPr>
        <w:t>practice</w:t>
      </w:r>
      <w:r>
        <w:t>, about which industries should be treated as either cultural, or creative, or both. The agreement is so marked that in this paper, we treat the two as different ways of talking about the same thing. We will first look at the international discussion, then home in on Canada.</w:t>
      </w:r>
    </w:p>
    <w:p w14:paraId="6E093F7A" w14:textId="77777777" w:rsidR="00C00FF2" w:rsidRDefault="00C00FF2" w:rsidP="00C00FF2">
      <w:r>
        <w:t xml:space="preserve">We can start at the international level. An influential and very thorough review by UNCTAD (2010) lists four basic classification systems or ‘models’: the DCMS model developed by the UK Department of Cultural, Media and Sport; the ‘Symbolic Texts’ (ST) model, the ‘Concentric Circles’ (CC) model and the WIPO (intellectual property model). </w:t>
      </w:r>
      <w:r>
        <w:fldChar w:fldCharType="begin"/>
      </w:r>
      <w:r>
        <w:instrText xml:space="preserve"> REF _Ref66347833 \h </w:instrText>
      </w:r>
      <w:r>
        <w:fldChar w:fldCharType="separate"/>
      </w:r>
      <w:r>
        <w:t xml:space="preserve">Table </w:t>
      </w:r>
      <w:r>
        <w:rPr>
          <w:noProof/>
        </w:rPr>
        <w:t>1</w:t>
      </w:r>
      <w:r>
        <w:fldChar w:fldCharType="end"/>
      </w:r>
      <w:r>
        <w:t xml:space="preserve"> lists 16 candidate ‘domains’, or broad groups of industries, which each approach considers creative. Of these, all four models agree on Advertising, Film/ Video, Music, Performing/Visual Arts, Publishing, Television and Radio, Fashion and Video/Computer Games. Three agree on software, and two on Architecture, Design, Crafts, Arts/Antiques, and Museums/ Libraries. The </w:t>
      </w:r>
      <w:r w:rsidRPr="008B5800">
        <w:t>only</w:t>
      </w:r>
      <w:r>
        <w:t xml:space="preserve"> outliers are Collecting Societies and Consumer Electronics.</w:t>
      </w:r>
    </w:p>
    <w:p w14:paraId="73D515F1" w14:textId="77777777" w:rsidR="00C00FF2" w:rsidRDefault="00C00FF2" w:rsidP="00C00FF2">
      <w:r>
        <w:t xml:space="preserve">The CSA domain structure is slightly more complex, because it lists domains and sub-domains. However every single domain considered by UNCTAD appears in it and CSA adds only three further domains, being governance, education and ‘multi-domain’.  Even these, except for governance, are essentially a restructuring of the domains in </w:t>
      </w:r>
      <w:r>
        <w:fldChar w:fldCharType="begin"/>
      </w:r>
      <w:r>
        <w:instrText xml:space="preserve"> REF _Ref66347833 \h </w:instrText>
      </w:r>
      <w:r>
        <w:fldChar w:fldCharType="separate"/>
      </w:r>
      <w:r>
        <w:t xml:space="preserve">Table </w:t>
      </w:r>
      <w:r>
        <w:rPr>
          <w:noProof/>
        </w:rPr>
        <w:t>1</w:t>
      </w:r>
      <w:r>
        <w:fldChar w:fldCharType="end"/>
      </w:r>
      <w:r>
        <w:t>.</w:t>
      </w:r>
    </w:p>
    <w:p w14:paraId="40AE55EC" w14:textId="33449D76" w:rsidR="00C6643B" w:rsidRDefault="00920469" w:rsidP="00FF5E57">
      <w:r>
        <w:t>This suggests a start point of the following domains, which could of course be reconfigured to conform more closely to the CSA domain hierarchy, and adapted through discussion with industry, the CSA team, and government. They would probably also benefit from being combined, not least because it reduces the amount of redaction that might take place – so, for example, ‘Software’ and ‘Video and computer Games’ could be amalgamated. I suggest the name ‘Industry’ is used in place of ‘Domain’, since it’s better-known.</w:t>
      </w:r>
    </w:p>
    <w:p w14:paraId="67F3FB9B" w14:textId="21223D21" w:rsidR="00920469" w:rsidRDefault="00920469" w:rsidP="00920469">
      <w:pPr>
        <w:pStyle w:val="Caption"/>
      </w:pPr>
      <w:r>
        <w:t xml:space="preserve">Table </w:t>
      </w:r>
      <w:fldSimple w:instr=" SEQ Table \* ARABIC ">
        <w:r>
          <w:rPr>
            <w:noProof/>
          </w:rPr>
          <w:t>2</w:t>
        </w:r>
      </w:fldSimple>
      <w:r>
        <w:t>: Proposed List of Primary Cultural and Creative Industries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920469" w:rsidRPr="00C00FF2" w14:paraId="40E0C882" w14:textId="77777777" w:rsidTr="00920469">
        <w:tc>
          <w:tcPr>
            <w:tcW w:w="9067" w:type="dxa"/>
            <w:shd w:val="clear" w:color="auto" w:fill="auto"/>
            <w:noWrap/>
            <w:vAlign w:val="bottom"/>
            <w:hideMark/>
          </w:tcPr>
          <w:p w14:paraId="3DB416F0" w14:textId="77777777" w:rsidR="00920469" w:rsidRPr="00C00FF2" w:rsidRDefault="00920469" w:rsidP="00031D0E">
            <w:pPr>
              <w:pStyle w:val="NoSpacing"/>
              <w:rPr>
                <w:sz w:val="18"/>
                <w:szCs w:val="18"/>
              </w:rPr>
            </w:pPr>
            <w:r w:rsidRPr="00C00FF2">
              <w:rPr>
                <w:sz w:val="18"/>
                <w:szCs w:val="18"/>
              </w:rPr>
              <w:t>Advertising</w:t>
            </w:r>
          </w:p>
        </w:tc>
      </w:tr>
      <w:tr w:rsidR="00920469" w:rsidRPr="00C00FF2" w14:paraId="5E7A47E1" w14:textId="77777777" w:rsidTr="00920469">
        <w:tc>
          <w:tcPr>
            <w:tcW w:w="9067" w:type="dxa"/>
            <w:shd w:val="clear" w:color="auto" w:fill="auto"/>
            <w:noWrap/>
            <w:vAlign w:val="bottom"/>
            <w:hideMark/>
          </w:tcPr>
          <w:p w14:paraId="0A78FC78" w14:textId="77777777" w:rsidR="00920469" w:rsidRPr="00C00FF2" w:rsidRDefault="00920469" w:rsidP="00031D0E">
            <w:pPr>
              <w:pStyle w:val="NoSpacing"/>
              <w:rPr>
                <w:sz w:val="18"/>
                <w:szCs w:val="18"/>
              </w:rPr>
            </w:pPr>
            <w:r w:rsidRPr="00C00FF2">
              <w:rPr>
                <w:sz w:val="18"/>
                <w:szCs w:val="18"/>
              </w:rPr>
              <w:t>Film and Video</w:t>
            </w:r>
          </w:p>
        </w:tc>
      </w:tr>
      <w:tr w:rsidR="00920469" w:rsidRPr="00C00FF2" w14:paraId="56DFF34F" w14:textId="77777777" w:rsidTr="00920469">
        <w:tc>
          <w:tcPr>
            <w:tcW w:w="9067" w:type="dxa"/>
            <w:shd w:val="clear" w:color="auto" w:fill="auto"/>
            <w:noWrap/>
            <w:vAlign w:val="bottom"/>
            <w:hideMark/>
          </w:tcPr>
          <w:p w14:paraId="14247D19" w14:textId="77777777" w:rsidR="00920469" w:rsidRPr="00C00FF2" w:rsidRDefault="00920469" w:rsidP="00031D0E">
            <w:pPr>
              <w:pStyle w:val="NoSpacing"/>
              <w:rPr>
                <w:sz w:val="18"/>
                <w:szCs w:val="18"/>
              </w:rPr>
            </w:pPr>
            <w:r w:rsidRPr="00C00FF2">
              <w:rPr>
                <w:sz w:val="18"/>
                <w:szCs w:val="18"/>
              </w:rPr>
              <w:t>Music</w:t>
            </w:r>
          </w:p>
        </w:tc>
      </w:tr>
      <w:tr w:rsidR="00920469" w:rsidRPr="00C00FF2" w14:paraId="7892A27D" w14:textId="77777777" w:rsidTr="00920469">
        <w:tc>
          <w:tcPr>
            <w:tcW w:w="9067" w:type="dxa"/>
            <w:shd w:val="clear" w:color="auto" w:fill="auto"/>
            <w:noWrap/>
            <w:vAlign w:val="bottom"/>
            <w:hideMark/>
          </w:tcPr>
          <w:p w14:paraId="6886059F" w14:textId="77777777" w:rsidR="00920469" w:rsidRPr="00C00FF2" w:rsidRDefault="00920469" w:rsidP="00031D0E">
            <w:pPr>
              <w:pStyle w:val="NoSpacing"/>
              <w:rPr>
                <w:sz w:val="18"/>
                <w:szCs w:val="18"/>
              </w:rPr>
            </w:pPr>
            <w:r w:rsidRPr="00C00FF2">
              <w:rPr>
                <w:sz w:val="18"/>
                <w:szCs w:val="18"/>
              </w:rPr>
              <w:t>Performing and Visual Arts</w:t>
            </w:r>
          </w:p>
        </w:tc>
      </w:tr>
      <w:tr w:rsidR="00920469" w:rsidRPr="00C00FF2" w14:paraId="74F7C77D" w14:textId="77777777" w:rsidTr="00920469">
        <w:tc>
          <w:tcPr>
            <w:tcW w:w="9067" w:type="dxa"/>
            <w:shd w:val="clear" w:color="auto" w:fill="auto"/>
            <w:noWrap/>
            <w:vAlign w:val="bottom"/>
            <w:hideMark/>
          </w:tcPr>
          <w:p w14:paraId="2C708DAC" w14:textId="77777777" w:rsidR="00920469" w:rsidRPr="00C00FF2" w:rsidRDefault="00920469" w:rsidP="00031D0E">
            <w:pPr>
              <w:pStyle w:val="NoSpacing"/>
              <w:rPr>
                <w:sz w:val="18"/>
                <w:szCs w:val="18"/>
              </w:rPr>
            </w:pPr>
            <w:r w:rsidRPr="00C00FF2">
              <w:rPr>
                <w:sz w:val="18"/>
                <w:szCs w:val="18"/>
              </w:rPr>
              <w:t>Publishing</w:t>
            </w:r>
          </w:p>
        </w:tc>
      </w:tr>
      <w:tr w:rsidR="00920469" w:rsidRPr="00C00FF2" w14:paraId="66570410" w14:textId="77777777" w:rsidTr="00920469">
        <w:tc>
          <w:tcPr>
            <w:tcW w:w="9067" w:type="dxa"/>
            <w:shd w:val="clear" w:color="auto" w:fill="auto"/>
            <w:noWrap/>
            <w:vAlign w:val="bottom"/>
            <w:hideMark/>
          </w:tcPr>
          <w:p w14:paraId="60ACF59A" w14:textId="77777777" w:rsidR="00920469" w:rsidRPr="00C00FF2" w:rsidRDefault="00920469" w:rsidP="00031D0E">
            <w:pPr>
              <w:pStyle w:val="NoSpacing"/>
              <w:rPr>
                <w:sz w:val="18"/>
                <w:szCs w:val="18"/>
              </w:rPr>
            </w:pPr>
            <w:r w:rsidRPr="00C00FF2">
              <w:rPr>
                <w:sz w:val="18"/>
                <w:szCs w:val="18"/>
              </w:rPr>
              <w:t>Television and radio</w:t>
            </w:r>
          </w:p>
        </w:tc>
      </w:tr>
      <w:tr w:rsidR="00920469" w:rsidRPr="00C00FF2" w14:paraId="4974E6A3" w14:textId="77777777" w:rsidTr="00920469">
        <w:tc>
          <w:tcPr>
            <w:tcW w:w="9067" w:type="dxa"/>
            <w:shd w:val="clear" w:color="auto" w:fill="auto"/>
            <w:noWrap/>
            <w:vAlign w:val="bottom"/>
            <w:hideMark/>
          </w:tcPr>
          <w:p w14:paraId="3343C1F7" w14:textId="77777777" w:rsidR="00920469" w:rsidRPr="00C00FF2" w:rsidRDefault="00920469" w:rsidP="00031D0E">
            <w:pPr>
              <w:pStyle w:val="NoSpacing"/>
              <w:rPr>
                <w:sz w:val="18"/>
                <w:szCs w:val="18"/>
              </w:rPr>
            </w:pPr>
            <w:r w:rsidRPr="00C00FF2">
              <w:rPr>
                <w:sz w:val="18"/>
                <w:szCs w:val="18"/>
              </w:rPr>
              <w:t>Fashion</w:t>
            </w:r>
          </w:p>
        </w:tc>
      </w:tr>
      <w:tr w:rsidR="00920469" w:rsidRPr="00C00FF2" w14:paraId="176F0C98" w14:textId="77777777" w:rsidTr="00920469">
        <w:tc>
          <w:tcPr>
            <w:tcW w:w="9067" w:type="dxa"/>
            <w:shd w:val="clear" w:color="auto" w:fill="auto"/>
            <w:noWrap/>
            <w:vAlign w:val="bottom"/>
            <w:hideMark/>
          </w:tcPr>
          <w:p w14:paraId="24C0E71D" w14:textId="77777777" w:rsidR="00920469" w:rsidRPr="00C00FF2" w:rsidRDefault="00920469" w:rsidP="00031D0E">
            <w:pPr>
              <w:pStyle w:val="NoSpacing"/>
              <w:rPr>
                <w:sz w:val="18"/>
                <w:szCs w:val="18"/>
              </w:rPr>
            </w:pPr>
            <w:r w:rsidRPr="00C00FF2">
              <w:rPr>
                <w:sz w:val="18"/>
                <w:szCs w:val="18"/>
              </w:rPr>
              <w:t>Video and computer games</w:t>
            </w:r>
          </w:p>
        </w:tc>
      </w:tr>
      <w:tr w:rsidR="00920469" w:rsidRPr="00C00FF2" w14:paraId="11C5D5BE" w14:textId="77777777" w:rsidTr="00920469">
        <w:tc>
          <w:tcPr>
            <w:tcW w:w="9067" w:type="dxa"/>
            <w:shd w:val="clear" w:color="auto" w:fill="auto"/>
            <w:noWrap/>
            <w:vAlign w:val="bottom"/>
            <w:hideMark/>
          </w:tcPr>
          <w:p w14:paraId="1A42DA85" w14:textId="77777777" w:rsidR="00920469" w:rsidRPr="00C00FF2" w:rsidRDefault="00920469" w:rsidP="00031D0E">
            <w:pPr>
              <w:pStyle w:val="NoSpacing"/>
              <w:rPr>
                <w:sz w:val="18"/>
                <w:szCs w:val="18"/>
              </w:rPr>
            </w:pPr>
            <w:r w:rsidRPr="00C00FF2">
              <w:rPr>
                <w:sz w:val="18"/>
                <w:szCs w:val="18"/>
              </w:rPr>
              <w:t>Architecture</w:t>
            </w:r>
          </w:p>
        </w:tc>
      </w:tr>
      <w:tr w:rsidR="00920469" w:rsidRPr="00C00FF2" w14:paraId="0620776C" w14:textId="77777777" w:rsidTr="00920469">
        <w:tc>
          <w:tcPr>
            <w:tcW w:w="9067" w:type="dxa"/>
            <w:shd w:val="clear" w:color="auto" w:fill="auto"/>
            <w:noWrap/>
            <w:vAlign w:val="bottom"/>
            <w:hideMark/>
          </w:tcPr>
          <w:p w14:paraId="6DA5A10E" w14:textId="77777777" w:rsidR="00920469" w:rsidRPr="00C00FF2" w:rsidRDefault="00920469" w:rsidP="00031D0E">
            <w:pPr>
              <w:pStyle w:val="NoSpacing"/>
              <w:rPr>
                <w:sz w:val="18"/>
                <w:szCs w:val="18"/>
              </w:rPr>
            </w:pPr>
            <w:r w:rsidRPr="00C00FF2">
              <w:rPr>
                <w:sz w:val="18"/>
                <w:szCs w:val="18"/>
              </w:rPr>
              <w:t>Software</w:t>
            </w:r>
          </w:p>
        </w:tc>
      </w:tr>
      <w:tr w:rsidR="00920469" w:rsidRPr="00C00FF2" w14:paraId="4E45A3E4" w14:textId="77777777" w:rsidTr="00920469">
        <w:tc>
          <w:tcPr>
            <w:tcW w:w="9067" w:type="dxa"/>
            <w:shd w:val="clear" w:color="auto" w:fill="auto"/>
            <w:noWrap/>
            <w:vAlign w:val="bottom"/>
            <w:hideMark/>
          </w:tcPr>
          <w:p w14:paraId="26921BEA" w14:textId="77777777" w:rsidR="00920469" w:rsidRPr="00C00FF2" w:rsidRDefault="00920469" w:rsidP="00031D0E">
            <w:pPr>
              <w:pStyle w:val="NoSpacing"/>
              <w:rPr>
                <w:sz w:val="18"/>
                <w:szCs w:val="18"/>
              </w:rPr>
            </w:pPr>
            <w:r w:rsidRPr="00C00FF2">
              <w:rPr>
                <w:sz w:val="18"/>
                <w:szCs w:val="18"/>
              </w:rPr>
              <w:t>Design</w:t>
            </w:r>
          </w:p>
        </w:tc>
      </w:tr>
      <w:tr w:rsidR="00920469" w:rsidRPr="00C00FF2" w14:paraId="74187B49" w14:textId="77777777" w:rsidTr="00920469">
        <w:tc>
          <w:tcPr>
            <w:tcW w:w="9067" w:type="dxa"/>
            <w:shd w:val="clear" w:color="auto" w:fill="auto"/>
            <w:noWrap/>
            <w:vAlign w:val="bottom"/>
            <w:hideMark/>
          </w:tcPr>
          <w:p w14:paraId="60AD5165" w14:textId="77777777" w:rsidR="00920469" w:rsidRPr="00C00FF2" w:rsidRDefault="00920469" w:rsidP="00031D0E">
            <w:pPr>
              <w:pStyle w:val="NoSpacing"/>
              <w:rPr>
                <w:sz w:val="18"/>
                <w:szCs w:val="18"/>
              </w:rPr>
            </w:pPr>
            <w:r w:rsidRPr="00C00FF2">
              <w:rPr>
                <w:sz w:val="18"/>
                <w:szCs w:val="18"/>
              </w:rPr>
              <w:t>Crafts</w:t>
            </w:r>
          </w:p>
        </w:tc>
      </w:tr>
      <w:tr w:rsidR="00920469" w:rsidRPr="00C00FF2" w14:paraId="7E90D8D0" w14:textId="77777777" w:rsidTr="00920469">
        <w:tc>
          <w:tcPr>
            <w:tcW w:w="9067" w:type="dxa"/>
            <w:shd w:val="clear" w:color="auto" w:fill="auto"/>
            <w:noWrap/>
            <w:vAlign w:val="bottom"/>
            <w:hideMark/>
          </w:tcPr>
          <w:p w14:paraId="6A3E996D" w14:textId="77777777" w:rsidR="00920469" w:rsidRPr="00C00FF2" w:rsidRDefault="00920469" w:rsidP="00031D0E">
            <w:pPr>
              <w:pStyle w:val="NoSpacing"/>
              <w:rPr>
                <w:sz w:val="18"/>
                <w:szCs w:val="18"/>
              </w:rPr>
            </w:pPr>
            <w:r w:rsidRPr="00C00FF2">
              <w:rPr>
                <w:sz w:val="18"/>
                <w:szCs w:val="18"/>
              </w:rPr>
              <w:t>Art and antiques</w:t>
            </w:r>
          </w:p>
        </w:tc>
      </w:tr>
      <w:tr w:rsidR="00920469" w:rsidRPr="00C00FF2" w14:paraId="00E5FB3A" w14:textId="77777777" w:rsidTr="00920469">
        <w:tc>
          <w:tcPr>
            <w:tcW w:w="9067" w:type="dxa"/>
            <w:shd w:val="clear" w:color="auto" w:fill="auto"/>
            <w:noWrap/>
            <w:vAlign w:val="bottom"/>
          </w:tcPr>
          <w:p w14:paraId="15DAAB30" w14:textId="77777777" w:rsidR="00920469" w:rsidRPr="00C00FF2" w:rsidRDefault="00920469" w:rsidP="00031D0E">
            <w:pPr>
              <w:pStyle w:val="NoSpacing"/>
              <w:rPr>
                <w:sz w:val="18"/>
                <w:szCs w:val="18"/>
              </w:rPr>
            </w:pPr>
            <w:r w:rsidRPr="00C00FF2">
              <w:rPr>
                <w:sz w:val="18"/>
                <w:szCs w:val="18"/>
              </w:rPr>
              <w:t>Museums and libraries</w:t>
            </w:r>
          </w:p>
        </w:tc>
      </w:tr>
    </w:tbl>
    <w:p w14:paraId="4082BD2D" w14:textId="77777777" w:rsidR="00F92339" w:rsidRPr="00F92339" w:rsidRDefault="00F92339" w:rsidP="00F92339"/>
    <w:p w14:paraId="05B961FF" w14:textId="71A02B2D" w:rsidR="00F92339" w:rsidRDefault="00920469" w:rsidP="00920469">
      <w:pPr>
        <w:pStyle w:val="Heading2"/>
        <w:jc w:val="left"/>
      </w:pPr>
      <w:r>
        <w:t>Assigning NAICS codes to industries</w:t>
      </w:r>
    </w:p>
    <w:p w14:paraId="28A560D9" w14:textId="607ACB6B" w:rsidR="00920469" w:rsidRPr="00920469" w:rsidRDefault="00920469" w:rsidP="00920469">
      <w:r>
        <w:t>This section to be written</w:t>
      </w:r>
    </w:p>
    <w:p w14:paraId="2A38FD7F" w14:textId="77777777" w:rsidR="002901C8" w:rsidRDefault="002901C8" w:rsidP="00D41C49">
      <w:pPr>
        <w:rPr>
          <w:lang w:val="en-CA"/>
        </w:rPr>
      </w:pPr>
    </w:p>
    <w:p w14:paraId="24AA705A" w14:textId="77777777" w:rsidR="003731AC" w:rsidRDefault="003731AC" w:rsidP="00D41C49">
      <w:pPr>
        <w:rPr>
          <w:lang w:val="en-CA"/>
        </w:rPr>
      </w:pPr>
    </w:p>
    <w:p w14:paraId="4323E4D9" w14:textId="75906024" w:rsidR="001D39AA" w:rsidRPr="00C15BF7" w:rsidRDefault="001D39AA" w:rsidP="00C15BF7">
      <w:pPr>
        <w:rPr>
          <w:lang w:val="en-CA"/>
        </w:rPr>
      </w:pPr>
    </w:p>
    <w:sectPr w:rsidR="001D39AA" w:rsidRPr="00C15BF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3AEA" w14:textId="77777777" w:rsidR="00D24092" w:rsidRDefault="00D24092" w:rsidP="007004A1">
      <w:pPr>
        <w:spacing w:after="0" w:line="240" w:lineRule="auto"/>
      </w:pPr>
      <w:r>
        <w:separator/>
      </w:r>
    </w:p>
  </w:endnote>
  <w:endnote w:type="continuationSeparator" w:id="0">
    <w:p w14:paraId="6AB3ACA5" w14:textId="77777777" w:rsidR="00D24092" w:rsidRDefault="00D24092" w:rsidP="0070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268346"/>
      <w:docPartObj>
        <w:docPartGallery w:val="Page Numbers (Bottom of Page)"/>
        <w:docPartUnique/>
      </w:docPartObj>
    </w:sdtPr>
    <w:sdtEndPr/>
    <w:sdtContent>
      <w:sdt>
        <w:sdtPr>
          <w:id w:val="1728636285"/>
          <w:docPartObj>
            <w:docPartGallery w:val="Page Numbers (Top of Page)"/>
            <w:docPartUnique/>
          </w:docPartObj>
        </w:sdtPr>
        <w:sdtEndPr/>
        <w:sdtContent>
          <w:p w14:paraId="3553A0D6" w14:textId="1DE06A2E" w:rsidR="004967C4" w:rsidRDefault="004967C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901F5E" w14:textId="77777777" w:rsidR="004967C4" w:rsidRDefault="00496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E8A9" w14:textId="77777777" w:rsidR="00D24092" w:rsidRDefault="00D24092" w:rsidP="007004A1">
      <w:pPr>
        <w:spacing w:after="0" w:line="240" w:lineRule="auto"/>
      </w:pPr>
      <w:r>
        <w:separator/>
      </w:r>
    </w:p>
  </w:footnote>
  <w:footnote w:type="continuationSeparator" w:id="0">
    <w:p w14:paraId="5806845E" w14:textId="77777777" w:rsidR="00D24092" w:rsidRDefault="00D24092" w:rsidP="007004A1">
      <w:pPr>
        <w:spacing w:after="0" w:line="240" w:lineRule="auto"/>
      </w:pPr>
      <w:r>
        <w:continuationSeparator/>
      </w:r>
    </w:p>
  </w:footnote>
  <w:footnote w:id="1">
    <w:p w14:paraId="2B5B8326" w14:textId="35C99604" w:rsidR="007004A1" w:rsidRDefault="007004A1">
      <w:pPr>
        <w:pStyle w:val="FootnoteText"/>
      </w:pPr>
      <w:r>
        <w:rPr>
          <w:rStyle w:val="FootnoteReference"/>
        </w:rPr>
        <w:footnoteRef/>
      </w:r>
      <w:r>
        <w:t xml:space="preserve"> </w:t>
      </w:r>
      <w:r w:rsidR="00AB3062">
        <w:t>For visualization purposes w</w:t>
      </w:r>
      <w:r>
        <w:t xml:space="preserve">e </w:t>
      </w:r>
      <w:r w:rsidR="00B15CF2">
        <w:t xml:space="preserve">reduced </w:t>
      </w:r>
      <w:r>
        <w:t xml:space="preserve">spikiness using </w:t>
      </w:r>
      <w:r>
        <w:rPr>
          <w:lang w:val="en-CA"/>
        </w:rPr>
        <w:t xml:space="preserve">a </w:t>
      </w:r>
      <w:r w:rsidR="00B15CF2">
        <w:rPr>
          <w:lang w:val="en-CA"/>
        </w:rPr>
        <w:t xml:space="preserve">statistical method </w:t>
      </w:r>
      <w:r>
        <w:rPr>
          <w:lang w:val="en-CA"/>
        </w:rPr>
        <w:t>called the Hodrick-Prescott filter</w:t>
      </w:r>
      <w:r w:rsidR="00AB3062">
        <w:rPr>
          <w:lang w:val="en-CA"/>
        </w:rPr>
        <w:t xml:space="preserve">. </w:t>
      </w:r>
      <w:r>
        <w:rPr>
          <w:lang w:val="en-CA"/>
        </w:rPr>
        <w:t xml:space="preserve">The technical </w:t>
      </w:r>
      <w:r w:rsidR="00AB3062">
        <w:rPr>
          <w:lang w:val="en-CA"/>
        </w:rPr>
        <w:t>details (</w:t>
      </w:r>
      <w:hyperlink r:id="rId1" w:history="1">
        <w:r w:rsidRPr="00396DCF">
          <w:rPr>
            <w:rStyle w:val="Hyperlink"/>
            <w:lang w:val="en-CA"/>
          </w:rPr>
          <w:t>https://en.wikipedia.org/wiki/Hodrick%E2%80%93Prescott_filter</w:t>
        </w:r>
      </w:hyperlink>
      <w:r w:rsidR="00AB3062">
        <w:rPr>
          <w:rStyle w:val="Hyperlink"/>
          <w:lang w:val="en-CA"/>
        </w:rPr>
        <w:t>)</w:t>
      </w:r>
      <w:r w:rsidR="00AB3062">
        <w:rPr>
          <w:lang w:val="en-CA"/>
        </w:rPr>
        <w:t xml:space="preserve"> don’t matter.</w:t>
      </w:r>
      <w:r>
        <w:rPr>
          <w:lang w:val="en-CA"/>
        </w:rPr>
        <w:t xml:space="preserve"> We customised it to preserve seasonal variations</w:t>
      </w:r>
      <w:r w:rsidR="00AB3062">
        <w:rPr>
          <w:lang w:val="en-CA"/>
        </w:rPr>
        <w:t xml:space="preserve"> because they are interesting, but </w:t>
      </w:r>
      <w:r w:rsidR="00B15CF2">
        <w:rPr>
          <w:lang w:val="en-CA"/>
        </w:rPr>
        <w:t xml:space="preserve">the filter </w:t>
      </w:r>
      <w:r w:rsidR="00AB3062">
        <w:rPr>
          <w:lang w:val="en-CA"/>
        </w:rPr>
        <w:t>can be customised to eliminate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F9B"/>
    <w:multiLevelType w:val="hybridMultilevel"/>
    <w:tmpl w:val="8474E5D4"/>
    <w:lvl w:ilvl="0" w:tplc="BCA48B0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F6E138C"/>
    <w:multiLevelType w:val="hybridMultilevel"/>
    <w:tmpl w:val="7876BA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36255A"/>
    <w:multiLevelType w:val="hybridMultilevel"/>
    <w:tmpl w:val="DFB23E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6E"/>
    <w:rsid w:val="00011E8C"/>
    <w:rsid w:val="000172FB"/>
    <w:rsid w:val="000302F8"/>
    <w:rsid w:val="000305B7"/>
    <w:rsid w:val="00096DA5"/>
    <w:rsid w:val="001165B4"/>
    <w:rsid w:val="00134C52"/>
    <w:rsid w:val="001B7072"/>
    <w:rsid w:val="001D200B"/>
    <w:rsid w:val="001D39AA"/>
    <w:rsid w:val="001F544E"/>
    <w:rsid w:val="00206309"/>
    <w:rsid w:val="00216D5E"/>
    <w:rsid w:val="00235422"/>
    <w:rsid w:val="002901C8"/>
    <w:rsid w:val="002F2FD8"/>
    <w:rsid w:val="00300632"/>
    <w:rsid w:val="00306FA3"/>
    <w:rsid w:val="003416F7"/>
    <w:rsid w:val="00341A64"/>
    <w:rsid w:val="003500B1"/>
    <w:rsid w:val="0036457F"/>
    <w:rsid w:val="00367144"/>
    <w:rsid w:val="003731AC"/>
    <w:rsid w:val="003C56FD"/>
    <w:rsid w:val="003E6DC8"/>
    <w:rsid w:val="00401C07"/>
    <w:rsid w:val="004361EB"/>
    <w:rsid w:val="0044186A"/>
    <w:rsid w:val="004631D5"/>
    <w:rsid w:val="00472AC0"/>
    <w:rsid w:val="004967C4"/>
    <w:rsid w:val="004C659B"/>
    <w:rsid w:val="004E7ACF"/>
    <w:rsid w:val="004F594F"/>
    <w:rsid w:val="005073E1"/>
    <w:rsid w:val="00562CBD"/>
    <w:rsid w:val="00565516"/>
    <w:rsid w:val="00566F93"/>
    <w:rsid w:val="00571173"/>
    <w:rsid w:val="00583A18"/>
    <w:rsid w:val="00592A4A"/>
    <w:rsid w:val="00595FC5"/>
    <w:rsid w:val="005A039F"/>
    <w:rsid w:val="005A7E90"/>
    <w:rsid w:val="005C0A21"/>
    <w:rsid w:val="005E59BC"/>
    <w:rsid w:val="005F737B"/>
    <w:rsid w:val="00650D0B"/>
    <w:rsid w:val="00652F31"/>
    <w:rsid w:val="006A2306"/>
    <w:rsid w:val="006A6FF3"/>
    <w:rsid w:val="006B0322"/>
    <w:rsid w:val="006E12FE"/>
    <w:rsid w:val="007004A1"/>
    <w:rsid w:val="00705D88"/>
    <w:rsid w:val="0071501B"/>
    <w:rsid w:val="0071628A"/>
    <w:rsid w:val="00722882"/>
    <w:rsid w:val="00727132"/>
    <w:rsid w:val="00736FA2"/>
    <w:rsid w:val="00757E35"/>
    <w:rsid w:val="007B663F"/>
    <w:rsid w:val="007D39F4"/>
    <w:rsid w:val="00812C9A"/>
    <w:rsid w:val="0082788D"/>
    <w:rsid w:val="0083474F"/>
    <w:rsid w:val="00877FDC"/>
    <w:rsid w:val="00877FFE"/>
    <w:rsid w:val="008936BA"/>
    <w:rsid w:val="008B5800"/>
    <w:rsid w:val="00912A41"/>
    <w:rsid w:val="00920469"/>
    <w:rsid w:val="00937862"/>
    <w:rsid w:val="0094304F"/>
    <w:rsid w:val="0097002E"/>
    <w:rsid w:val="00977E0B"/>
    <w:rsid w:val="009D3725"/>
    <w:rsid w:val="009E45EE"/>
    <w:rsid w:val="009E4A15"/>
    <w:rsid w:val="009E59E2"/>
    <w:rsid w:val="00A179DA"/>
    <w:rsid w:val="00A500A0"/>
    <w:rsid w:val="00A7020D"/>
    <w:rsid w:val="00AA2A05"/>
    <w:rsid w:val="00AB3062"/>
    <w:rsid w:val="00AD010E"/>
    <w:rsid w:val="00AD2162"/>
    <w:rsid w:val="00AF5697"/>
    <w:rsid w:val="00B15CF2"/>
    <w:rsid w:val="00B20B95"/>
    <w:rsid w:val="00B27CE5"/>
    <w:rsid w:val="00B73B5B"/>
    <w:rsid w:val="00B7763E"/>
    <w:rsid w:val="00B83377"/>
    <w:rsid w:val="00BB4F7A"/>
    <w:rsid w:val="00BB707F"/>
    <w:rsid w:val="00BD499E"/>
    <w:rsid w:val="00BE71BD"/>
    <w:rsid w:val="00BF3DF7"/>
    <w:rsid w:val="00BF4D21"/>
    <w:rsid w:val="00C00FF2"/>
    <w:rsid w:val="00C10CCD"/>
    <w:rsid w:val="00C15BF7"/>
    <w:rsid w:val="00C621C8"/>
    <w:rsid w:val="00C6643B"/>
    <w:rsid w:val="00CD20D7"/>
    <w:rsid w:val="00CD2D01"/>
    <w:rsid w:val="00D24092"/>
    <w:rsid w:val="00D41C49"/>
    <w:rsid w:val="00D6422C"/>
    <w:rsid w:val="00D668D1"/>
    <w:rsid w:val="00D81ABC"/>
    <w:rsid w:val="00D85D4A"/>
    <w:rsid w:val="00DC18C7"/>
    <w:rsid w:val="00DF2B0B"/>
    <w:rsid w:val="00E024CF"/>
    <w:rsid w:val="00E3106B"/>
    <w:rsid w:val="00E40837"/>
    <w:rsid w:val="00E555E0"/>
    <w:rsid w:val="00E60270"/>
    <w:rsid w:val="00EC4AC0"/>
    <w:rsid w:val="00EE4461"/>
    <w:rsid w:val="00EF6C71"/>
    <w:rsid w:val="00F12F89"/>
    <w:rsid w:val="00F13795"/>
    <w:rsid w:val="00F14B6E"/>
    <w:rsid w:val="00F17DE3"/>
    <w:rsid w:val="00F2072F"/>
    <w:rsid w:val="00F429D3"/>
    <w:rsid w:val="00F5061E"/>
    <w:rsid w:val="00F50846"/>
    <w:rsid w:val="00F5699E"/>
    <w:rsid w:val="00F731FC"/>
    <w:rsid w:val="00F92339"/>
    <w:rsid w:val="00FB45F3"/>
    <w:rsid w:val="00FC21A2"/>
    <w:rsid w:val="00FF5E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9C1C"/>
  <w15:chartTrackingRefBased/>
  <w15:docId w15:val="{87C393CA-0BAB-468F-8DE7-C8757C63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469"/>
    <w:pPr>
      <w:spacing w:after="120"/>
    </w:pPr>
    <w:rPr>
      <w:rFonts w:ascii="Baskerville Old Face" w:hAnsi="Baskerville Old Face"/>
      <w:lang w:val="en-GB"/>
    </w:rPr>
  </w:style>
  <w:style w:type="paragraph" w:styleId="Heading1">
    <w:name w:val="heading 1"/>
    <w:basedOn w:val="Normal"/>
    <w:next w:val="Normal"/>
    <w:link w:val="Heading1Char"/>
    <w:uiPriority w:val="9"/>
    <w:qFormat/>
    <w:rsid w:val="00BE71BD"/>
    <w:pPr>
      <w:keepNext/>
      <w:keepLines/>
      <w:outlineLvl w:val="0"/>
    </w:pPr>
    <w:rPr>
      <w:rFonts w:ascii="Copperplate Gothic Bold" w:eastAsiaTheme="majorEastAsia" w:hAnsi="Copperplate Gothic Bold" w:cstheme="majorBidi"/>
      <w:caps/>
      <w:color w:val="000000" w:themeColor="text1"/>
      <w:sz w:val="28"/>
      <w:szCs w:val="32"/>
      <w:lang w:val="en-CA"/>
    </w:rPr>
  </w:style>
  <w:style w:type="paragraph" w:styleId="Heading2">
    <w:name w:val="heading 2"/>
    <w:basedOn w:val="Normal"/>
    <w:next w:val="Normal"/>
    <w:link w:val="Heading2Char"/>
    <w:uiPriority w:val="9"/>
    <w:unhideWhenUsed/>
    <w:qFormat/>
    <w:rsid w:val="000305B7"/>
    <w:pPr>
      <w:keepNext/>
      <w:keepLines/>
      <w:spacing w:before="40"/>
      <w:jc w:val="center"/>
      <w:outlineLvl w:val="1"/>
    </w:pPr>
    <w:rPr>
      <w:rFonts w:ascii="Copperplate Gothic Bold" w:eastAsiaTheme="majorEastAsia" w:hAnsi="Copperplate Gothic Bold" w:cstheme="majorBidi"/>
      <w:sz w:val="26"/>
      <w:szCs w:val="26"/>
    </w:rPr>
  </w:style>
  <w:style w:type="paragraph" w:styleId="Heading3">
    <w:name w:val="heading 3"/>
    <w:basedOn w:val="Heading2"/>
    <w:next w:val="Normal"/>
    <w:link w:val="Heading3Char"/>
    <w:uiPriority w:val="9"/>
    <w:unhideWhenUsed/>
    <w:qFormat/>
    <w:rsid w:val="00F5061E"/>
    <w:pPr>
      <w:outlineLvl w:val="2"/>
    </w:pPr>
    <w:rPr>
      <w:i/>
      <w:color w:val="1F3763" w:themeColor="accent1" w:themeShade="7F"/>
      <w:sz w:val="24"/>
      <w:szCs w:val="24"/>
    </w:rPr>
  </w:style>
  <w:style w:type="paragraph" w:styleId="Heading4">
    <w:name w:val="heading 4"/>
    <w:basedOn w:val="Normal"/>
    <w:next w:val="Normal"/>
    <w:link w:val="Heading4Char"/>
    <w:uiPriority w:val="9"/>
    <w:unhideWhenUsed/>
    <w:qFormat/>
    <w:rsid w:val="00011E8C"/>
    <w:pPr>
      <w:keepNext/>
      <w:keepLines/>
      <w:spacing w:before="40" w:after="0"/>
      <w:outlineLvl w:val="3"/>
    </w:pPr>
    <w:rPr>
      <w:rFonts w:ascii="Copperplate Gothic Bold" w:eastAsiaTheme="majorEastAsia" w:hAnsi="Copperplate Gothic Bold"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5D88"/>
    <w:pPr>
      <w:keepNext/>
      <w:spacing w:after="0" w:line="240" w:lineRule="auto"/>
    </w:pPr>
    <w:rPr>
      <w:iCs/>
      <w:smallCaps/>
      <w:color w:val="44546A" w:themeColor="text2"/>
      <w:sz w:val="18"/>
      <w:szCs w:val="18"/>
      <w:lang w:val="en-CA"/>
    </w:rPr>
  </w:style>
  <w:style w:type="paragraph" w:customStyle="1" w:styleId="ReferenceText">
    <w:name w:val="Reference Text"/>
    <w:basedOn w:val="Normal"/>
    <w:rsid w:val="003416F7"/>
    <w:pPr>
      <w:ind w:left="720" w:hanging="720"/>
    </w:pPr>
    <w:rPr>
      <w:lang w:eastAsia="en-GB"/>
    </w:rPr>
  </w:style>
  <w:style w:type="paragraph" w:styleId="Quote">
    <w:name w:val="Quote"/>
    <w:basedOn w:val="Normal"/>
    <w:next w:val="Normal"/>
    <w:link w:val="QuoteChar"/>
    <w:uiPriority w:val="29"/>
    <w:qFormat/>
    <w:rsid w:val="00F13795"/>
    <w:pPr>
      <w:ind w:left="567" w:right="567"/>
      <w:jc w:val="both"/>
    </w:pPr>
    <w:rPr>
      <w:i/>
      <w:iCs/>
      <w:color w:val="404040" w:themeColor="text1" w:themeTint="BF"/>
    </w:rPr>
  </w:style>
  <w:style w:type="character" w:customStyle="1" w:styleId="QuoteChar">
    <w:name w:val="Quote Char"/>
    <w:basedOn w:val="DefaultParagraphFont"/>
    <w:link w:val="Quote"/>
    <w:uiPriority w:val="29"/>
    <w:rsid w:val="00F13795"/>
    <w:rPr>
      <w:rFonts w:ascii="Baskerville Old Face" w:hAnsi="Baskerville Old Face"/>
      <w:i/>
      <w:iCs/>
      <w:color w:val="404040" w:themeColor="text1" w:themeTint="BF"/>
    </w:rPr>
  </w:style>
  <w:style w:type="character" w:customStyle="1" w:styleId="Heading2Char">
    <w:name w:val="Heading 2 Char"/>
    <w:basedOn w:val="DefaultParagraphFont"/>
    <w:link w:val="Heading2"/>
    <w:uiPriority w:val="9"/>
    <w:rsid w:val="000305B7"/>
    <w:rPr>
      <w:rFonts w:ascii="Copperplate Gothic Bold" w:eastAsiaTheme="majorEastAsia" w:hAnsi="Copperplate Gothic Bold" w:cstheme="majorBidi"/>
      <w:sz w:val="26"/>
      <w:szCs w:val="26"/>
    </w:rPr>
  </w:style>
  <w:style w:type="character" w:customStyle="1" w:styleId="Heading3Char">
    <w:name w:val="Heading 3 Char"/>
    <w:basedOn w:val="DefaultParagraphFont"/>
    <w:link w:val="Heading3"/>
    <w:uiPriority w:val="9"/>
    <w:rsid w:val="00F5061E"/>
    <w:rPr>
      <w:rFonts w:ascii="Copperplate Gothic Bold" w:eastAsiaTheme="majorEastAsia" w:hAnsi="Copperplate Gothic Bold" w:cstheme="majorBidi"/>
      <w:i/>
      <w:color w:val="1F3763" w:themeColor="accent1" w:themeShade="7F"/>
      <w:sz w:val="24"/>
      <w:szCs w:val="24"/>
      <w:lang w:val="en-GB"/>
    </w:rPr>
  </w:style>
  <w:style w:type="paragraph" w:customStyle="1" w:styleId="SpaceAbove">
    <w:name w:val="Space Above"/>
    <w:basedOn w:val="Normal"/>
    <w:qFormat/>
    <w:rsid w:val="00A179DA"/>
    <w:pPr>
      <w:spacing w:before="120"/>
    </w:pPr>
    <w:rPr>
      <w:lang w:eastAsia="en-GB"/>
    </w:rPr>
  </w:style>
  <w:style w:type="character" w:customStyle="1" w:styleId="Heading4Char">
    <w:name w:val="Heading 4 Char"/>
    <w:basedOn w:val="DefaultParagraphFont"/>
    <w:link w:val="Heading4"/>
    <w:uiPriority w:val="9"/>
    <w:rsid w:val="00011E8C"/>
    <w:rPr>
      <w:rFonts w:ascii="Copperplate Gothic Bold" w:eastAsiaTheme="majorEastAsia" w:hAnsi="Copperplate Gothic Bold" w:cstheme="majorBidi"/>
      <w:i/>
      <w:iCs/>
    </w:rPr>
  </w:style>
  <w:style w:type="paragraph" w:customStyle="1" w:styleId="NormalNospace">
    <w:name w:val="Normal Nospace"/>
    <w:basedOn w:val="Normal"/>
    <w:qFormat/>
    <w:rsid w:val="00DC18C7"/>
    <w:pPr>
      <w:spacing w:after="0" w:line="240" w:lineRule="auto"/>
      <w:jc w:val="center"/>
    </w:pPr>
    <w:rPr>
      <w:noProof/>
    </w:rPr>
  </w:style>
  <w:style w:type="paragraph" w:customStyle="1" w:styleId="Note">
    <w:name w:val="Note"/>
    <w:basedOn w:val="Caption"/>
    <w:qFormat/>
    <w:rsid w:val="003E6DC8"/>
    <w:pPr>
      <w:jc w:val="center"/>
    </w:pPr>
    <w:rPr>
      <w:caps/>
    </w:rPr>
  </w:style>
  <w:style w:type="paragraph" w:customStyle="1" w:styleId="Notenospace">
    <w:name w:val="Note nospace"/>
    <w:basedOn w:val="Note"/>
    <w:qFormat/>
    <w:rsid w:val="004F594F"/>
    <w:pPr>
      <w:spacing w:after="160"/>
      <w:jc w:val="both"/>
    </w:pPr>
    <w:rPr>
      <w:bCs/>
      <w:i/>
      <w:caps w:val="0"/>
      <w:smallCaps w:val="0"/>
      <w:szCs w:val="22"/>
    </w:rPr>
  </w:style>
  <w:style w:type="paragraph" w:customStyle="1" w:styleId="ChartNote">
    <w:name w:val="Chart Note"/>
    <w:basedOn w:val="Note"/>
    <w:qFormat/>
    <w:rsid w:val="000172FB"/>
    <w:pPr>
      <w:widowControl w:val="0"/>
      <w:spacing w:after="160"/>
      <w:jc w:val="left"/>
    </w:pPr>
    <w:rPr>
      <w:b/>
      <w:iCs w:val="0"/>
      <w:caps w:val="0"/>
      <w:smallCaps w:val="0"/>
      <w:sz w:val="20"/>
      <w:szCs w:val="22"/>
    </w:rPr>
  </w:style>
  <w:style w:type="paragraph" w:customStyle="1" w:styleId="Equation">
    <w:name w:val="Equation"/>
    <w:basedOn w:val="Normal"/>
    <w:qFormat/>
    <w:rsid w:val="00F429D3"/>
    <w:pPr>
      <w:tabs>
        <w:tab w:val="center" w:pos="4649"/>
      </w:tabs>
      <w:spacing w:before="120" w:after="160"/>
    </w:pPr>
    <w:rPr>
      <w:rFonts w:ascii="Cambria Math" w:hAnsi="Cambria Math"/>
      <w:iCs/>
      <w:lang w:val="en-CA"/>
    </w:rPr>
  </w:style>
  <w:style w:type="character" w:customStyle="1" w:styleId="Heading1Char">
    <w:name w:val="Heading 1 Char"/>
    <w:basedOn w:val="DefaultParagraphFont"/>
    <w:link w:val="Heading1"/>
    <w:uiPriority w:val="9"/>
    <w:rsid w:val="00BE71BD"/>
    <w:rPr>
      <w:rFonts w:ascii="Copperplate Gothic Bold" w:eastAsiaTheme="majorEastAsia" w:hAnsi="Copperplate Gothic Bold" w:cstheme="majorBidi"/>
      <w:caps/>
      <w:color w:val="000000" w:themeColor="text1"/>
      <w:sz w:val="28"/>
      <w:szCs w:val="32"/>
    </w:rPr>
  </w:style>
  <w:style w:type="paragraph" w:styleId="ListParagraph">
    <w:name w:val="List Paragraph"/>
    <w:basedOn w:val="Normal"/>
    <w:uiPriority w:val="34"/>
    <w:qFormat/>
    <w:rsid w:val="00C15BF7"/>
    <w:pPr>
      <w:ind w:left="720"/>
      <w:contextualSpacing/>
    </w:pPr>
  </w:style>
  <w:style w:type="paragraph" w:styleId="FootnoteText">
    <w:name w:val="footnote text"/>
    <w:basedOn w:val="Normal"/>
    <w:link w:val="FootnoteTextChar"/>
    <w:uiPriority w:val="99"/>
    <w:semiHidden/>
    <w:unhideWhenUsed/>
    <w:rsid w:val="007004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4A1"/>
    <w:rPr>
      <w:rFonts w:ascii="Baskerville Old Face" w:hAnsi="Baskerville Old Face"/>
      <w:sz w:val="20"/>
      <w:szCs w:val="20"/>
      <w:lang w:val="en-GB"/>
    </w:rPr>
  </w:style>
  <w:style w:type="character" w:styleId="FootnoteReference">
    <w:name w:val="footnote reference"/>
    <w:basedOn w:val="DefaultParagraphFont"/>
    <w:uiPriority w:val="99"/>
    <w:semiHidden/>
    <w:unhideWhenUsed/>
    <w:rsid w:val="007004A1"/>
    <w:rPr>
      <w:vertAlign w:val="superscript"/>
    </w:rPr>
  </w:style>
  <w:style w:type="character" w:styleId="Hyperlink">
    <w:name w:val="Hyperlink"/>
    <w:basedOn w:val="DefaultParagraphFont"/>
    <w:uiPriority w:val="99"/>
    <w:unhideWhenUsed/>
    <w:rsid w:val="007004A1"/>
    <w:rPr>
      <w:color w:val="0563C1" w:themeColor="hyperlink"/>
      <w:u w:val="single"/>
    </w:rPr>
  </w:style>
  <w:style w:type="character" w:styleId="UnresolvedMention">
    <w:name w:val="Unresolved Mention"/>
    <w:basedOn w:val="DefaultParagraphFont"/>
    <w:uiPriority w:val="99"/>
    <w:semiHidden/>
    <w:unhideWhenUsed/>
    <w:rsid w:val="007004A1"/>
    <w:rPr>
      <w:color w:val="605E5C"/>
      <w:shd w:val="clear" w:color="auto" w:fill="E1DFDD"/>
    </w:rPr>
  </w:style>
  <w:style w:type="paragraph" w:styleId="Header">
    <w:name w:val="header"/>
    <w:basedOn w:val="Normal"/>
    <w:link w:val="HeaderChar"/>
    <w:uiPriority w:val="99"/>
    <w:unhideWhenUsed/>
    <w:rsid w:val="00496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7C4"/>
    <w:rPr>
      <w:rFonts w:ascii="Baskerville Old Face" w:hAnsi="Baskerville Old Face"/>
      <w:lang w:val="en-GB"/>
    </w:rPr>
  </w:style>
  <w:style w:type="paragraph" w:styleId="Footer">
    <w:name w:val="footer"/>
    <w:basedOn w:val="Normal"/>
    <w:link w:val="FooterChar"/>
    <w:uiPriority w:val="99"/>
    <w:unhideWhenUsed/>
    <w:rsid w:val="00496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7C4"/>
    <w:rPr>
      <w:rFonts w:ascii="Baskerville Old Face" w:hAnsi="Baskerville Old Face"/>
      <w:lang w:val="en-GB"/>
    </w:rPr>
  </w:style>
  <w:style w:type="paragraph" w:styleId="NoSpacing">
    <w:name w:val="No Spacing"/>
    <w:link w:val="NoSpacingChar"/>
    <w:uiPriority w:val="1"/>
    <w:qFormat/>
    <w:rsid w:val="001D200B"/>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1D200B"/>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902">
      <w:bodyDiv w:val="1"/>
      <w:marLeft w:val="0"/>
      <w:marRight w:val="0"/>
      <w:marTop w:val="0"/>
      <w:marBottom w:val="0"/>
      <w:divBdr>
        <w:top w:val="none" w:sz="0" w:space="0" w:color="auto"/>
        <w:left w:val="none" w:sz="0" w:space="0" w:color="auto"/>
        <w:bottom w:val="none" w:sz="0" w:space="0" w:color="auto"/>
        <w:right w:val="none" w:sz="0" w:space="0" w:color="auto"/>
      </w:divBdr>
    </w:div>
    <w:div w:id="541750228">
      <w:bodyDiv w:val="1"/>
      <w:marLeft w:val="0"/>
      <w:marRight w:val="0"/>
      <w:marTop w:val="0"/>
      <w:marBottom w:val="0"/>
      <w:divBdr>
        <w:top w:val="none" w:sz="0" w:space="0" w:color="auto"/>
        <w:left w:val="none" w:sz="0" w:space="0" w:color="auto"/>
        <w:bottom w:val="none" w:sz="0" w:space="0" w:color="auto"/>
        <w:right w:val="none" w:sz="0" w:space="0" w:color="auto"/>
      </w:divBdr>
    </w:div>
    <w:div w:id="122926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Hodrick%E2%80%93Prescott_filt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ree\Documents\Github\Canada-CI\RESULTS\EXPORTS\Full%20Query%20Early%20Warning%20C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free\Documents\Github\Canada-CI\RESULTS\EXPORTS\Full%20Query%20Early%20Warning%20C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free\Documents\Github\Canada-CI\RESULTS\EXPORTS\All%20Province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afree\Documents\Github\Canada-CI\RESULTS\EXPORTS\All%20Provinc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'Main vs Creative'!$B$28</c:f>
              <c:strCache>
                <c:ptCount val="1"/>
                <c:pt idx="0">
                  <c:v>Creative non-performing</c:v>
                </c:pt>
              </c:strCache>
            </c:strRef>
          </c:tx>
          <c:spPr>
            <a:ln w="28575" cap="rnd">
              <a:solidFill>
                <a:schemeClr val="accent6">
                  <a:shade val="65000"/>
                </a:schemeClr>
              </a:solidFill>
              <a:round/>
            </a:ln>
            <a:effectLst/>
          </c:spPr>
          <c:marker>
            <c:symbol val="none"/>
          </c:marker>
          <c:cat>
            <c:numRef>
              <c:f>'Main vs Creative'!$C$27:$ED$27</c:f>
              <c:numCache>
                <c:formatCode>m/d/yyyy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'Main vs Creative'!$C$28:$ED$28</c:f>
              <c:numCache>
                <c:formatCode>_(* #,##0.00_);_(* \(#,##0.00\);_(* "-"??_);_(@_)</c:formatCode>
                <c:ptCount val="132"/>
                <c:pt idx="0">
                  <c:v>0.99757363233251029</c:v>
                </c:pt>
                <c:pt idx="1">
                  <c:v>1.0070797804484004</c:v>
                </c:pt>
                <c:pt idx="2">
                  <c:v>1.0169741473910889</c:v>
                </c:pt>
                <c:pt idx="3">
                  <c:v>1.0271280252943209</c:v>
                </c:pt>
                <c:pt idx="4">
                  <c:v>1.0380118865222234</c:v>
                </c:pt>
                <c:pt idx="5">
                  <c:v>1.0486514691256787</c:v>
                </c:pt>
                <c:pt idx="6">
                  <c:v>1.0569959323813762</c:v>
                </c:pt>
                <c:pt idx="7">
                  <c:v>1.0616746997279094</c:v>
                </c:pt>
                <c:pt idx="8">
                  <c:v>1.0623395209613018</c:v>
                </c:pt>
                <c:pt idx="9">
                  <c:v>1.0612219868946589</c:v>
                </c:pt>
                <c:pt idx="10">
                  <c:v>1.0593190259487071</c:v>
                </c:pt>
                <c:pt idx="11">
                  <c:v>1.0568337684018996</c:v>
                </c:pt>
                <c:pt idx="12">
                  <c:v>1.0543972259398191</c:v>
                </c:pt>
                <c:pt idx="13">
                  <c:v>1.0532431828831399</c:v>
                </c:pt>
                <c:pt idx="14">
                  <c:v>1.0542746460443733</c:v>
                </c:pt>
                <c:pt idx="15">
                  <c:v>1.0584319327765463</c:v>
                </c:pt>
                <c:pt idx="16">
                  <c:v>1.0651125193504125</c:v>
                </c:pt>
                <c:pt idx="17">
                  <c:v>1.0723444632355195</c:v>
                </c:pt>
                <c:pt idx="18">
                  <c:v>1.0782463766630186</c:v>
                </c:pt>
                <c:pt idx="19">
                  <c:v>1.0812723301810676</c:v>
                </c:pt>
                <c:pt idx="20">
                  <c:v>1.0806302522635358</c:v>
                </c:pt>
                <c:pt idx="21">
                  <c:v>1.0786411147210737</c:v>
                </c:pt>
                <c:pt idx="22">
                  <c:v>1.0771728419757145</c:v>
                </c:pt>
                <c:pt idx="23">
                  <c:v>1.0762289849913436</c:v>
                </c:pt>
                <c:pt idx="24">
                  <c:v>1.0764111447082223</c:v>
                </c:pt>
                <c:pt idx="25">
                  <c:v>1.0786506950813779</c:v>
                </c:pt>
                <c:pt idx="26">
                  <c:v>1.0834982846473513</c:v>
                </c:pt>
                <c:pt idx="27">
                  <c:v>1.0893241850675557</c:v>
                </c:pt>
                <c:pt idx="28">
                  <c:v>1.0943729118317058</c:v>
                </c:pt>
                <c:pt idx="29">
                  <c:v>1.0967744918685816</c:v>
                </c:pt>
                <c:pt idx="30">
                  <c:v>1.0961869170385552</c:v>
                </c:pt>
                <c:pt idx="31">
                  <c:v>1.0927960531490015</c:v>
                </c:pt>
                <c:pt idx="32">
                  <c:v>1.0867807108084375</c:v>
                </c:pt>
                <c:pt idx="33">
                  <c:v>1.0801785805860402</c:v>
                </c:pt>
                <c:pt idx="34">
                  <c:v>1.0752805115515924</c:v>
                </c:pt>
                <c:pt idx="35">
                  <c:v>1.0734593523158016</c:v>
                </c:pt>
                <c:pt idx="36">
                  <c:v>1.0763467302749743</c:v>
                </c:pt>
                <c:pt idx="37">
                  <c:v>1.0833597167546194</c:v>
                </c:pt>
                <c:pt idx="38">
                  <c:v>1.0915664200352839</c:v>
                </c:pt>
                <c:pt idx="39">
                  <c:v>1.0996478482250061</c:v>
                </c:pt>
                <c:pt idx="40">
                  <c:v>1.1070303366934631</c:v>
                </c:pt>
                <c:pt idx="41">
                  <c:v>1.1136800635793032</c:v>
                </c:pt>
                <c:pt idx="42">
                  <c:v>1.1177032782177825</c:v>
                </c:pt>
                <c:pt idx="43">
                  <c:v>1.1171387857529607</c:v>
                </c:pt>
                <c:pt idx="44">
                  <c:v>1.1125506589686669</c:v>
                </c:pt>
                <c:pt idx="45">
                  <c:v>1.1074199247022312</c:v>
                </c:pt>
                <c:pt idx="46">
                  <c:v>1.1028120029228634</c:v>
                </c:pt>
                <c:pt idx="47">
                  <c:v>1.0991934476521661</c:v>
                </c:pt>
                <c:pt idx="48">
                  <c:v>1.0976671261677751</c:v>
                </c:pt>
                <c:pt idx="49">
                  <c:v>1.1000401731877572</c:v>
                </c:pt>
                <c:pt idx="50">
                  <c:v>1.1079806582904246</c:v>
                </c:pt>
                <c:pt idx="51">
                  <c:v>1.1200697221565952</c:v>
                </c:pt>
                <c:pt idx="52">
                  <c:v>1.1340164809857578</c:v>
                </c:pt>
                <c:pt idx="53">
                  <c:v>1.1464009525939218</c:v>
                </c:pt>
                <c:pt idx="54">
                  <c:v>1.1549368834114007</c:v>
                </c:pt>
                <c:pt idx="55">
                  <c:v>1.1578005270227212</c:v>
                </c:pt>
                <c:pt idx="56">
                  <c:v>1.1537717333326261</c:v>
                </c:pt>
                <c:pt idx="57">
                  <c:v>1.1471872797967608</c:v>
                </c:pt>
                <c:pt idx="58">
                  <c:v>1.1400161556703003</c:v>
                </c:pt>
                <c:pt idx="59">
                  <c:v>1.1339220009515421</c:v>
                </c:pt>
                <c:pt idx="60">
                  <c:v>1.1307029274836451</c:v>
                </c:pt>
                <c:pt idx="61">
                  <c:v>1.1315894073931947</c:v>
                </c:pt>
                <c:pt idx="62">
                  <c:v>1.1360559426486854</c:v>
                </c:pt>
                <c:pt idx="63">
                  <c:v>1.1428453899325142</c:v>
                </c:pt>
                <c:pt idx="64">
                  <c:v>1.1517045647748965</c:v>
                </c:pt>
                <c:pt idx="65">
                  <c:v>1.160437312512407</c:v>
                </c:pt>
                <c:pt idx="66">
                  <c:v>1.1654786871889662</c:v>
                </c:pt>
                <c:pt idx="67">
                  <c:v>1.1639175792505714</c:v>
                </c:pt>
                <c:pt idx="68">
                  <c:v>1.1584684921247679</c:v>
                </c:pt>
                <c:pt idx="69">
                  <c:v>1.1532008052003984</c:v>
                </c:pt>
                <c:pt idx="70">
                  <c:v>1.1509907604349996</c:v>
                </c:pt>
                <c:pt idx="71">
                  <c:v>1.1525822924264879</c:v>
                </c:pt>
                <c:pt idx="72">
                  <c:v>1.157176488495121</c:v>
                </c:pt>
                <c:pt idx="73">
                  <c:v>1.1649023550790685</c:v>
                </c:pt>
                <c:pt idx="74">
                  <c:v>1.1755838346444887</c:v>
                </c:pt>
                <c:pt idx="75">
                  <c:v>1.1880277846309844</c:v>
                </c:pt>
                <c:pt idx="76">
                  <c:v>1.200490028756513</c:v>
                </c:pt>
                <c:pt idx="77">
                  <c:v>1.2091167220386276</c:v>
                </c:pt>
                <c:pt idx="78">
                  <c:v>1.2115846559224199</c:v>
                </c:pt>
                <c:pt idx="79">
                  <c:v>1.2079877959705649</c:v>
                </c:pt>
                <c:pt idx="80">
                  <c:v>1.2001017360026385</c:v>
                </c:pt>
                <c:pt idx="81">
                  <c:v>1.1918805780475816</c:v>
                </c:pt>
                <c:pt idx="82">
                  <c:v>1.1851761583303455</c:v>
                </c:pt>
                <c:pt idx="83">
                  <c:v>1.180227947326455</c:v>
                </c:pt>
                <c:pt idx="84">
                  <c:v>1.177076433356042</c:v>
                </c:pt>
                <c:pt idx="85">
                  <c:v>1.1782547626404325</c:v>
                </c:pt>
                <c:pt idx="86">
                  <c:v>1.1849690113466003</c:v>
                </c:pt>
                <c:pt idx="87">
                  <c:v>1.1974730793204658</c:v>
                </c:pt>
                <c:pt idx="88">
                  <c:v>1.2148854102120161</c:v>
                </c:pt>
                <c:pt idx="89">
                  <c:v>1.2333062670592372</c:v>
                </c:pt>
                <c:pt idx="90">
                  <c:v>1.2470936707368336</c:v>
                </c:pt>
                <c:pt idx="91">
                  <c:v>1.2538433415438288</c:v>
                </c:pt>
                <c:pt idx="92">
                  <c:v>1.2546984790898017</c:v>
                </c:pt>
                <c:pt idx="93">
                  <c:v>1.2516188445292766</c:v>
                </c:pt>
                <c:pt idx="94">
                  <c:v>1.2463791445162051</c:v>
                </c:pt>
                <c:pt idx="95">
                  <c:v>1.2400528463557952</c:v>
                </c:pt>
                <c:pt idx="96">
                  <c:v>1.2346629122848753</c:v>
                </c:pt>
                <c:pt idx="97">
                  <c:v>1.233368521959314</c:v>
                </c:pt>
                <c:pt idx="98">
                  <c:v>1.2394013297294602</c:v>
                </c:pt>
                <c:pt idx="99">
                  <c:v>1.2537699055575504</c:v>
                </c:pt>
                <c:pt idx="100">
                  <c:v>1.2726697212179399</c:v>
                </c:pt>
                <c:pt idx="101">
                  <c:v>1.2895212512953922</c:v>
                </c:pt>
                <c:pt idx="102">
                  <c:v>1.2980126638865226</c:v>
                </c:pt>
                <c:pt idx="103">
                  <c:v>1.2960860751732062</c:v>
                </c:pt>
                <c:pt idx="104">
                  <c:v>1.2869505555429583</c:v>
                </c:pt>
                <c:pt idx="105">
                  <c:v>1.2764160164093856</c:v>
                </c:pt>
                <c:pt idx="106">
                  <c:v>1.2695461143832447</c:v>
                </c:pt>
                <c:pt idx="107">
                  <c:v>1.268281866142444</c:v>
                </c:pt>
                <c:pt idx="108">
                  <c:v>1.2736414797138882</c:v>
                </c:pt>
                <c:pt idx="109">
                  <c:v>1.2849137078141506</c:v>
                </c:pt>
                <c:pt idx="110">
                  <c:v>1.3000188830954524</c:v>
                </c:pt>
                <c:pt idx="111">
                  <c:v>1.3166142143234398</c:v>
                </c:pt>
                <c:pt idx="112">
                  <c:v>1.3318782522474961</c:v>
                </c:pt>
                <c:pt idx="113">
                  <c:v>1.3418865922999501</c:v>
                </c:pt>
                <c:pt idx="114">
                  <c:v>1.3442404662974496</c:v>
                </c:pt>
                <c:pt idx="115">
                  <c:v>1.338430849028394</c:v>
                </c:pt>
                <c:pt idx="116">
                  <c:v>1.3269817794501044</c:v>
                </c:pt>
                <c:pt idx="117">
                  <c:v>1.3148992672350177</c:v>
                </c:pt>
                <c:pt idx="118">
                  <c:v>1.3034186299403916</c:v>
                </c:pt>
                <c:pt idx="119">
                  <c:v>1.2935755624592413</c:v>
                </c:pt>
                <c:pt idx="120">
                  <c:v>1.2829197894583644</c:v>
                </c:pt>
                <c:pt idx="121">
                  <c:v>1.2708898087672509</c:v>
                </c:pt>
                <c:pt idx="122">
                  <c:v>1.2587096093420649</c:v>
                </c:pt>
                <c:pt idx="123">
                  <c:v>1.2515493210957225</c:v>
                </c:pt>
                <c:pt idx="124">
                  <c:v>1.2575782970720748</c:v>
                </c:pt>
                <c:pt idx="125">
                  <c:v>1.2756671431538908</c:v>
                </c:pt>
                <c:pt idx="126">
                  <c:v>1.3004373313538609</c:v>
                </c:pt>
                <c:pt idx="127">
                  <c:v>1.3235599252325949</c:v>
                </c:pt>
                <c:pt idx="128">
                  <c:v>1.3409298487629604</c:v>
                </c:pt>
                <c:pt idx="129">
                  <c:v>1.3519930504430542</c:v>
                </c:pt>
                <c:pt idx="130">
                  <c:v>1.3578059036895604</c:v>
                </c:pt>
                <c:pt idx="131">
                  <c:v>1.3616629325838425</c:v>
                </c:pt>
              </c:numCache>
            </c:numRef>
          </c:val>
          <c:smooth val="0"/>
          <c:extLst>
            <c:ext xmlns:c16="http://schemas.microsoft.com/office/drawing/2014/chart" uri="{C3380CC4-5D6E-409C-BE32-E72D297353CC}">
              <c16:uniqueId val="{00000000-DB5D-4E25-9F1D-6EAB456397B7}"/>
            </c:ext>
          </c:extLst>
        </c:ser>
        <c:ser>
          <c:idx val="1"/>
          <c:order val="1"/>
          <c:tx>
            <c:strRef>
              <c:f>'Main vs Creative'!$B$29</c:f>
              <c:strCache>
                <c:ptCount val="1"/>
                <c:pt idx="0">
                  <c:v>Performing</c:v>
                </c:pt>
              </c:strCache>
            </c:strRef>
          </c:tx>
          <c:spPr>
            <a:ln w="28575" cap="rnd">
              <a:solidFill>
                <a:schemeClr val="accent6"/>
              </a:solidFill>
              <a:round/>
            </a:ln>
            <a:effectLst/>
          </c:spPr>
          <c:marker>
            <c:symbol val="none"/>
          </c:marker>
          <c:cat>
            <c:numRef>
              <c:f>'Main vs Creative'!$C$27:$ED$27</c:f>
              <c:numCache>
                <c:formatCode>m/d/yyyy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'Main vs Creative'!$C$29:$ED$29</c:f>
              <c:numCache>
                <c:formatCode>_(* #,##0.00_);_(* \(#,##0.00\);_(* "-"??_);_(@_)</c:formatCode>
                <c:ptCount val="132"/>
                <c:pt idx="0">
                  <c:v>1.025313094037352</c:v>
                </c:pt>
                <c:pt idx="1">
                  <c:v>1.0407069912407665</c:v>
                </c:pt>
                <c:pt idx="2">
                  <c:v>1.0520507933982046</c:v>
                </c:pt>
                <c:pt idx="3">
                  <c:v>1.0512155883866052</c:v>
                </c:pt>
                <c:pt idx="4">
                  <c:v>1.040554848895765</c:v>
                </c:pt>
                <c:pt idx="5">
                  <c:v>1.0240754096285332</c:v>
                </c:pt>
                <c:pt idx="6">
                  <c:v>1.0073727845128457</c:v>
                </c:pt>
                <c:pt idx="7">
                  <c:v>0.99030937076041625</c:v>
                </c:pt>
                <c:pt idx="8">
                  <c:v>0.97920277483268858</c:v>
                </c:pt>
                <c:pt idx="9">
                  <c:v>0.97063479681549725</c:v>
                </c:pt>
                <c:pt idx="10">
                  <c:v>0.96595324372047919</c:v>
                </c:pt>
                <c:pt idx="11">
                  <c:v>0.96401210057363329</c:v>
                </c:pt>
                <c:pt idx="12">
                  <c:v>0.96601463146930611</c:v>
                </c:pt>
                <c:pt idx="13">
                  <c:v>0.97383226122887312</c:v>
                </c:pt>
                <c:pt idx="14">
                  <c:v>0.9895735203882754</c:v>
                </c:pt>
                <c:pt idx="15">
                  <c:v>1.0063664194572353</c:v>
                </c:pt>
                <c:pt idx="16">
                  <c:v>1.0110404007040992</c:v>
                </c:pt>
                <c:pt idx="17">
                  <c:v>1.0066676900724365</c:v>
                </c:pt>
                <c:pt idx="18">
                  <c:v>0.9996439525743499</c:v>
                </c:pt>
                <c:pt idx="19">
                  <c:v>0.99452347232625848</c:v>
                </c:pt>
                <c:pt idx="20">
                  <c:v>0.99890505289990505</c:v>
                </c:pt>
                <c:pt idx="21">
                  <c:v>1.0155099386987039</c:v>
                </c:pt>
                <c:pt idx="22">
                  <c:v>1.0382719100604247</c:v>
                </c:pt>
                <c:pt idx="23">
                  <c:v>1.0553236550563561</c:v>
                </c:pt>
                <c:pt idx="24">
                  <c:v>1.0613991141010914</c:v>
                </c:pt>
                <c:pt idx="25">
                  <c:v>1.0569862519288382</c:v>
                </c:pt>
                <c:pt idx="26">
                  <c:v>1.045584583039759</c:v>
                </c:pt>
                <c:pt idx="27">
                  <c:v>1.0262231245299671</c:v>
                </c:pt>
                <c:pt idx="28">
                  <c:v>1.0075668207901283</c:v>
                </c:pt>
                <c:pt idx="29">
                  <c:v>0.99740441836080218</c:v>
                </c:pt>
                <c:pt idx="30">
                  <c:v>0.99545366816843761</c:v>
                </c:pt>
                <c:pt idx="31">
                  <c:v>0.99377015915334521</c:v>
                </c:pt>
                <c:pt idx="32">
                  <c:v>0.99078004687585697</c:v>
                </c:pt>
                <c:pt idx="33">
                  <c:v>0.99221331537367885</c:v>
                </c:pt>
                <c:pt idx="34">
                  <c:v>1.0006278382798148</c:v>
                </c:pt>
                <c:pt idx="35">
                  <c:v>1.0142948553096665</c:v>
                </c:pt>
                <c:pt idx="36">
                  <c:v>1.0313851520538648</c:v>
                </c:pt>
                <c:pt idx="37">
                  <c:v>1.049884688567464</c:v>
                </c:pt>
                <c:pt idx="38">
                  <c:v>1.0714991560402471</c:v>
                </c:pt>
                <c:pt idx="39">
                  <c:v>1.0918337466668606</c:v>
                </c:pt>
                <c:pt idx="40">
                  <c:v>1.1016927918248893</c:v>
                </c:pt>
                <c:pt idx="41">
                  <c:v>1.0986533368415408</c:v>
                </c:pt>
                <c:pt idx="42">
                  <c:v>1.0873687449440179</c:v>
                </c:pt>
                <c:pt idx="43">
                  <c:v>1.080940210610106</c:v>
                </c:pt>
                <c:pt idx="44">
                  <c:v>1.080813580578829</c:v>
                </c:pt>
                <c:pt idx="45">
                  <c:v>1.0851108239081917</c:v>
                </c:pt>
                <c:pt idx="46">
                  <c:v>1.0966170977594376</c:v>
                </c:pt>
                <c:pt idx="47">
                  <c:v>1.1062702285750001</c:v>
                </c:pt>
                <c:pt idx="48">
                  <c:v>1.1138923223701869</c:v>
                </c:pt>
                <c:pt idx="49">
                  <c:v>1.1241003122120945</c:v>
                </c:pt>
                <c:pt idx="50">
                  <c:v>1.13435336650422</c:v>
                </c:pt>
                <c:pt idx="51">
                  <c:v>1.1402905649686013</c:v>
                </c:pt>
                <c:pt idx="52">
                  <c:v>1.1398442135552036</c:v>
                </c:pt>
                <c:pt idx="53">
                  <c:v>1.1317366423418376</c:v>
                </c:pt>
                <c:pt idx="54">
                  <c:v>1.1218586757022113</c:v>
                </c:pt>
                <c:pt idx="55">
                  <c:v>1.1147189875451595</c:v>
                </c:pt>
                <c:pt idx="56">
                  <c:v>1.1165736769451717</c:v>
                </c:pt>
                <c:pt idx="57">
                  <c:v>1.1251716611244218</c:v>
                </c:pt>
                <c:pt idx="58">
                  <c:v>1.1377566803354879</c:v>
                </c:pt>
                <c:pt idx="59">
                  <c:v>1.1567732248186759</c:v>
                </c:pt>
                <c:pt idx="60">
                  <c:v>1.1830949787545282</c:v>
                </c:pt>
                <c:pt idx="61">
                  <c:v>1.2068964193429172</c:v>
                </c:pt>
                <c:pt idx="62">
                  <c:v>1.2173832448870021</c:v>
                </c:pt>
                <c:pt idx="63">
                  <c:v>1.2081681000390583</c:v>
                </c:pt>
                <c:pt idx="64">
                  <c:v>1.1795760862030509</c:v>
                </c:pt>
                <c:pt idx="65">
                  <c:v>1.1400085346411497</c:v>
                </c:pt>
                <c:pt idx="66">
                  <c:v>1.1053171754371447</c:v>
                </c:pt>
                <c:pt idx="67">
                  <c:v>1.0800173800478712</c:v>
                </c:pt>
                <c:pt idx="68">
                  <c:v>1.0651624302281317</c:v>
                </c:pt>
                <c:pt idx="69">
                  <c:v>1.0579654825267304</c:v>
                </c:pt>
                <c:pt idx="70">
                  <c:v>1.0526272592894419</c:v>
                </c:pt>
                <c:pt idx="71">
                  <c:v>1.0483478645789255</c:v>
                </c:pt>
                <c:pt idx="72">
                  <c:v>1.0418821447059698</c:v>
                </c:pt>
                <c:pt idx="73">
                  <c:v>1.0357485960858028</c:v>
                </c:pt>
                <c:pt idx="74">
                  <c:v>1.0353911279972947</c:v>
                </c:pt>
                <c:pt idx="75">
                  <c:v>1.0425255755904013</c:v>
                </c:pt>
                <c:pt idx="76">
                  <c:v>1.0590696472007948</c:v>
                </c:pt>
                <c:pt idx="77">
                  <c:v>1.0875505137031549</c:v>
                </c:pt>
                <c:pt idx="78">
                  <c:v>1.126908656085317</c:v>
                </c:pt>
                <c:pt idx="79">
                  <c:v>1.1650640250098316</c:v>
                </c:pt>
                <c:pt idx="80">
                  <c:v>1.2000599551835798</c:v>
                </c:pt>
                <c:pt idx="81">
                  <c:v>1.2295323035635985</c:v>
                </c:pt>
                <c:pt idx="82">
                  <c:v>1.2519704048169713</c:v>
                </c:pt>
                <c:pt idx="83">
                  <c:v>1.2607843448193043</c:v>
                </c:pt>
                <c:pt idx="84">
                  <c:v>1.252665071923069</c:v>
                </c:pt>
                <c:pt idx="85">
                  <c:v>1.2385669743027321</c:v>
                </c:pt>
                <c:pt idx="86">
                  <c:v>1.2250899511700222</c:v>
                </c:pt>
                <c:pt idx="87">
                  <c:v>1.2154073075633056</c:v>
                </c:pt>
                <c:pt idx="88">
                  <c:v>1.2053363242452255</c:v>
                </c:pt>
                <c:pt idx="89">
                  <c:v>1.2038086425055015</c:v>
                </c:pt>
                <c:pt idx="90">
                  <c:v>1.216888260495973</c:v>
                </c:pt>
                <c:pt idx="91">
                  <c:v>1.237282905600795</c:v>
                </c:pt>
                <c:pt idx="92">
                  <c:v>1.2658197602882517</c:v>
                </c:pt>
                <c:pt idx="93">
                  <c:v>1.2923593590046356</c:v>
                </c:pt>
                <c:pt idx="94">
                  <c:v>1.3087124023509484</c:v>
                </c:pt>
                <c:pt idx="95">
                  <c:v>1.3135773770282531</c:v>
                </c:pt>
                <c:pt idx="96">
                  <c:v>1.309592118694795</c:v>
                </c:pt>
                <c:pt idx="97">
                  <c:v>1.3043258171241323</c:v>
                </c:pt>
                <c:pt idx="98">
                  <c:v>1.2995197004153922</c:v>
                </c:pt>
                <c:pt idx="99">
                  <c:v>1.2923722435212004</c:v>
                </c:pt>
                <c:pt idx="100">
                  <c:v>1.2804021994798653</c:v>
                </c:pt>
                <c:pt idx="101">
                  <c:v>1.2687885963911998</c:v>
                </c:pt>
                <c:pt idx="102">
                  <c:v>1.2694090426650702</c:v>
                </c:pt>
                <c:pt idx="103">
                  <c:v>1.2866536434879203</c:v>
                </c:pt>
                <c:pt idx="104">
                  <c:v>1.3182109299722038</c:v>
                </c:pt>
                <c:pt idx="105">
                  <c:v>1.3523087230247275</c:v>
                </c:pt>
                <c:pt idx="106">
                  <c:v>1.379262477882611</c:v>
                </c:pt>
                <c:pt idx="107">
                  <c:v>1.3958674933797921</c:v>
                </c:pt>
                <c:pt idx="108">
                  <c:v>1.4013076113080767</c:v>
                </c:pt>
                <c:pt idx="109">
                  <c:v>1.3960475149057801</c:v>
                </c:pt>
                <c:pt idx="110">
                  <c:v>1.385388312755452</c:v>
                </c:pt>
                <c:pt idx="111">
                  <c:v>1.3715677987448984</c:v>
                </c:pt>
                <c:pt idx="112">
                  <c:v>1.3597812771083275</c:v>
                </c:pt>
                <c:pt idx="113">
                  <c:v>1.3477787367842216</c:v>
                </c:pt>
                <c:pt idx="114">
                  <c:v>1.3374879009629419</c:v>
                </c:pt>
                <c:pt idx="115">
                  <c:v>1.3341683818096794</c:v>
                </c:pt>
                <c:pt idx="116">
                  <c:v>1.3368825572110734</c:v>
                </c:pt>
                <c:pt idx="117">
                  <c:v>1.3442272470900778</c:v>
                </c:pt>
                <c:pt idx="118">
                  <c:v>1.3406214370429848</c:v>
                </c:pt>
                <c:pt idx="119">
                  <c:v>1.3195847932423233</c:v>
                </c:pt>
                <c:pt idx="120">
                  <c:v>1.2780075381024867</c:v>
                </c:pt>
                <c:pt idx="121">
                  <c:v>1.2173033119047132</c:v>
                </c:pt>
                <c:pt idx="122">
                  <c:v>1.1408775778794855</c:v>
                </c:pt>
                <c:pt idx="123">
                  <c:v>1.0768970065586179</c:v>
                </c:pt>
                <c:pt idx="124">
                  <c:v>1.0406144120298035</c:v>
                </c:pt>
                <c:pt idx="125">
                  <c:v>1.0328767360173887</c:v>
                </c:pt>
                <c:pt idx="126">
                  <c:v>1.0530118674329845</c:v>
                </c:pt>
                <c:pt idx="127">
                  <c:v>1.0930957161806054</c:v>
                </c:pt>
                <c:pt idx="128">
                  <c:v>1.1358370928217383</c:v>
                </c:pt>
                <c:pt idx="129">
                  <c:v>1.1690771558462623</c:v>
                </c:pt>
                <c:pt idx="130">
                  <c:v>1.1903477485329659</c:v>
                </c:pt>
                <c:pt idx="131">
                  <c:v>1.206753542115969</c:v>
                </c:pt>
              </c:numCache>
            </c:numRef>
          </c:val>
          <c:smooth val="0"/>
          <c:extLst>
            <c:ext xmlns:c16="http://schemas.microsoft.com/office/drawing/2014/chart" uri="{C3380CC4-5D6E-409C-BE32-E72D297353CC}">
              <c16:uniqueId val="{00000001-DB5D-4E25-9F1D-6EAB456397B7}"/>
            </c:ext>
          </c:extLst>
        </c:ser>
        <c:ser>
          <c:idx val="2"/>
          <c:order val="2"/>
          <c:tx>
            <c:strRef>
              <c:f>'Main vs Creative'!$B$30</c:f>
              <c:strCache>
                <c:ptCount val="1"/>
                <c:pt idx="0">
                  <c:v>Not Creative</c:v>
                </c:pt>
              </c:strCache>
            </c:strRef>
          </c:tx>
          <c:spPr>
            <a:ln w="28575" cap="rnd">
              <a:solidFill>
                <a:schemeClr val="accent6">
                  <a:tint val="65000"/>
                </a:schemeClr>
              </a:solidFill>
              <a:round/>
            </a:ln>
            <a:effectLst/>
          </c:spPr>
          <c:marker>
            <c:symbol val="none"/>
          </c:marker>
          <c:cat>
            <c:numRef>
              <c:f>'Main vs Creative'!$C$27:$ED$27</c:f>
              <c:numCache>
                <c:formatCode>m/d/yyyy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'Main vs Creative'!$C$30:$ED$30</c:f>
              <c:numCache>
                <c:formatCode>_(* #,##0.00_);_(* \(#,##0.00\);_(* "-"??_);_(@_)</c:formatCode>
                <c:ptCount val="132"/>
                <c:pt idx="0">
                  <c:v>0.99553076064210788</c:v>
                </c:pt>
                <c:pt idx="1">
                  <c:v>1.0026519215318808</c:v>
                </c:pt>
                <c:pt idx="2">
                  <c:v>1.0104881607189165</c:v>
                </c:pt>
                <c:pt idx="3">
                  <c:v>1.0198188572053031</c:v>
                </c:pt>
                <c:pt idx="4">
                  <c:v>1.0294475514321537</c:v>
                </c:pt>
                <c:pt idx="5">
                  <c:v>1.036878812938288</c:v>
                </c:pt>
                <c:pt idx="6">
                  <c:v>1.040164462369904</c:v>
                </c:pt>
                <c:pt idx="7">
                  <c:v>1.0397131064661964</c:v>
                </c:pt>
                <c:pt idx="8">
                  <c:v>1.0365873697757635</c:v>
                </c:pt>
                <c:pt idx="9">
                  <c:v>1.0325589817662293</c:v>
                </c:pt>
                <c:pt idx="10">
                  <c:v>1.0284236171760928</c:v>
                </c:pt>
                <c:pt idx="11">
                  <c:v>1.0247400600418137</c:v>
                </c:pt>
                <c:pt idx="12">
                  <c:v>1.0223009867282575</c:v>
                </c:pt>
                <c:pt idx="13">
                  <c:v>1.022719887950897</c:v>
                </c:pt>
                <c:pt idx="14">
                  <c:v>1.0265226597939718</c:v>
                </c:pt>
                <c:pt idx="15">
                  <c:v>1.0335308494627125</c:v>
                </c:pt>
                <c:pt idx="16">
                  <c:v>1.0420827291451511</c:v>
                </c:pt>
                <c:pt idx="17">
                  <c:v>1.0491983547009069</c:v>
                </c:pt>
                <c:pt idx="18">
                  <c:v>1.0528093459626253</c:v>
                </c:pt>
                <c:pt idx="19">
                  <c:v>1.0526180516874093</c:v>
                </c:pt>
                <c:pt idx="20">
                  <c:v>1.0492579491917957</c:v>
                </c:pt>
                <c:pt idx="21">
                  <c:v>1.04416355726962</c:v>
                </c:pt>
                <c:pt idx="22">
                  <c:v>1.0383926219747921</c:v>
                </c:pt>
                <c:pt idx="23">
                  <c:v>1.033058653014463</c:v>
                </c:pt>
                <c:pt idx="24">
                  <c:v>1.029504639189547</c:v>
                </c:pt>
                <c:pt idx="25">
                  <c:v>1.0298383579217445</c:v>
                </c:pt>
                <c:pt idx="26">
                  <c:v>1.0345783413366672</c:v>
                </c:pt>
                <c:pt idx="27">
                  <c:v>1.0428394832498729</c:v>
                </c:pt>
                <c:pt idx="28">
                  <c:v>1.0522133399530214</c:v>
                </c:pt>
                <c:pt idx="29">
                  <c:v>1.0598991767345203</c:v>
                </c:pt>
                <c:pt idx="30">
                  <c:v>1.0642475514871184</c:v>
                </c:pt>
                <c:pt idx="31">
                  <c:v>1.0653806029998829</c:v>
                </c:pt>
                <c:pt idx="32">
                  <c:v>1.0637319940754453</c:v>
                </c:pt>
                <c:pt idx="33">
                  <c:v>1.0605190041361918</c:v>
                </c:pt>
                <c:pt idx="34">
                  <c:v>1.0565461921473829</c:v>
                </c:pt>
                <c:pt idx="35">
                  <c:v>1.0525016813913566</c:v>
                </c:pt>
                <c:pt idx="36">
                  <c:v>1.0493032336040613</c:v>
                </c:pt>
                <c:pt idx="37">
                  <c:v>1.0487690261824119</c:v>
                </c:pt>
                <c:pt idx="38">
                  <c:v>1.0517034929155942</c:v>
                </c:pt>
                <c:pt idx="39">
                  <c:v>1.0581891708986244</c:v>
                </c:pt>
                <c:pt idx="40">
                  <c:v>1.066433623869</c:v>
                </c:pt>
                <c:pt idx="41">
                  <c:v>1.0733558052260816</c:v>
                </c:pt>
                <c:pt idx="42">
                  <c:v>1.0771562338009943</c:v>
                </c:pt>
                <c:pt idx="43">
                  <c:v>1.0777233959684827</c:v>
                </c:pt>
                <c:pt idx="44">
                  <c:v>1.0755036249614804</c:v>
                </c:pt>
                <c:pt idx="45">
                  <c:v>1.0714935569798936</c:v>
                </c:pt>
                <c:pt idx="46">
                  <c:v>1.0665373233155675</c:v>
                </c:pt>
                <c:pt idx="47">
                  <c:v>1.061431426400206</c:v>
                </c:pt>
                <c:pt idx="48">
                  <c:v>1.057468131024923</c:v>
                </c:pt>
                <c:pt idx="49">
                  <c:v>1.0565019579336248</c:v>
                </c:pt>
                <c:pt idx="50">
                  <c:v>1.058919713891634</c:v>
                </c:pt>
                <c:pt idx="51">
                  <c:v>1.0643342613287143</c:v>
                </c:pt>
                <c:pt idx="52">
                  <c:v>1.0712074658629156</c:v>
                </c:pt>
                <c:pt idx="53">
                  <c:v>1.0768990913220229</c:v>
                </c:pt>
                <c:pt idx="54">
                  <c:v>1.0795493097161355</c:v>
                </c:pt>
                <c:pt idx="55">
                  <c:v>1.0791200266446366</c:v>
                </c:pt>
                <c:pt idx="56">
                  <c:v>1.076386800551218</c:v>
                </c:pt>
                <c:pt idx="57">
                  <c:v>1.0722668665793713</c:v>
                </c:pt>
                <c:pt idx="58">
                  <c:v>1.0671332249970016</c:v>
                </c:pt>
                <c:pt idx="59">
                  <c:v>1.0618082702670988</c:v>
                </c:pt>
                <c:pt idx="60">
                  <c:v>1.0576673520449307</c:v>
                </c:pt>
                <c:pt idx="61">
                  <c:v>1.0567827347559693</c:v>
                </c:pt>
                <c:pt idx="62">
                  <c:v>1.0598967604207705</c:v>
                </c:pt>
                <c:pt idx="63">
                  <c:v>1.0667493684866225</c:v>
                </c:pt>
                <c:pt idx="64">
                  <c:v>1.0755194894455615</c:v>
                </c:pt>
                <c:pt idx="65">
                  <c:v>1.082947292946157</c:v>
                </c:pt>
                <c:pt idx="66">
                  <c:v>1.0869483225943219</c:v>
                </c:pt>
                <c:pt idx="67">
                  <c:v>1.0875532254619293</c:v>
                </c:pt>
                <c:pt idx="68">
                  <c:v>1.0851875920334177</c:v>
                </c:pt>
                <c:pt idx="69">
                  <c:v>1.0809773150156119</c:v>
                </c:pt>
                <c:pt idx="70">
                  <c:v>1.0754728380518084</c:v>
                </c:pt>
                <c:pt idx="71">
                  <c:v>1.0695813789820658</c:v>
                </c:pt>
                <c:pt idx="72">
                  <c:v>1.064726561675716</c:v>
                </c:pt>
                <c:pt idx="73">
                  <c:v>1.0630030770737939</c:v>
                </c:pt>
                <c:pt idx="74">
                  <c:v>1.0649973338656751</c:v>
                </c:pt>
                <c:pt idx="75">
                  <c:v>1.0703446347427865</c:v>
                </c:pt>
                <c:pt idx="76">
                  <c:v>1.0774215152018876</c:v>
                </c:pt>
                <c:pt idx="77">
                  <c:v>1.0833589027497603</c:v>
                </c:pt>
                <c:pt idx="78">
                  <c:v>1.0866294373380436</c:v>
                </c:pt>
                <c:pt idx="79">
                  <c:v>1.0874001725199041</c:v>
                </c:pt>
                <c:pt idx="80">
                  <c:v>1.0860753060567014</c:v>
                </c:pt>
                <c:pt idx="81">
                  <c:v>1.0833351878679154</c:v>
                </c:pt>
                <c:pt idx="82">
                  <c:v>1.0796060058164532</c:v>
                </c:pt>
                <c:pt idx="83">
                  <c:v>1.0759443960345652</c:v>
                </c:pt>
                <c:pt idx="84">
                  <c:v>1.0737759888906044</c:v>
                </c:pt>
                <c:pt idx="85">
                  <c:v>1.0749208762386047</c:v>
                </c:pt>
                <c:pt idx="86">
                  <c:v>1.0799184203281431</c:v>
                </c:pt>
                <c:pt idx="87">
                  <c:v>1.0883179972628969</c:v>
                </c:pt>
                <c:pt idx="88">
                  <c:v>1.0984234661332974</c:v>
                </c:pt>
                <c:pt idx="89">
                  <c:v>1.106722526400008</c:v>
                </c:pt>
                <c:pt idx="90">
                  <c:v>1.1114585514584423</c:v>
                </c:pt>
                <c:pt idx="91">
                  <c:v>1.1127065697573988</c:v>
                </c:pt>
                <c:pt idx="92">
                  <c:v>1.1112557742552904</c:v>
                </c:pt>
                <c:pt idx="93">
                  <c:v>1.1085118027957197</c:v>
                </c:pt>
                <c:pt idx="94">
                  <c:v>1.1049261541835778</c:v>
                </c:pt>
                <c:pt idx="95">
                  <c:v>1.1007402978223699</c:v>
                </c:pt>
                <c:pt idx="96">
                  <c:v>1.0968913700080529</c:v>
                </c:pt>
                <c:pt idx="97">
                  <c:v>1.0956182858454999</c:v>
                </c:pt>
                <c:pt idx="98">
                  <c:v>1.097635286575769</c:v>
                </c:pt>
                <c:pt idx="99">
                  <c:v>1.102658652787305</c:v>
                </c:pt>
                <c:pt idx="100">
                  <c:v>1.1093711129614909</c:v>
                </c:pt>
                <c:pt idx="101">
                  <c:v>1.1150838732487665</c:v>
                </c:pt>
                <c:pt idx="102">
                  <c:v>1.1182044211479065</c:v>
                </c:pt>
                <c:pt idx="103">
                  <c:v>1.1189294255217528</c:v>
                </c:pt>
                <c:pt idx="104">
                  <c:v>1.1182013727463713</c:v>
                </c:pt>
                <c:pt idx="105">
                  <c:v>1.117003625970759</c:v>
                </c:pt>
                <c:pt idx="106">
                  <c:v>1.1155192742153037</c:v>
                </c:pt>
                <c:pt idx="107">
                  <c:v>1.1138994762999532</c:v>
                </c:pt>
                <c:pt idx="108">
                  <c:v>1.1130662416791766</c:v>
                </c:pt>
                <c:pt idx="109">
                  <c:v>1.1147807228044422</c:v>
                </c:pt>
                <c:pt idx="110">
                  <c:v>1.11957412530995</c:v>
                </c:pt>
                <c:pt idx="111">
                  <c:v>1.1271463488350755</c:v>
                </c:pt>
                <c:pt idx="112">
                  <c:v>1.1356202509905948</c:v>
                </c:pt>
                <c:pt idx="113">
                  <c:v>1.1423758833142266</c:v>
                </c:pt>
                <c:pt idx="114">
                  <c:v>1.1463539259584234</c:v>
                </c:pt>
                <c:pt idx="115">
                  <c:v>1.148050703296142</c:v>
                </c:pt>
                <c:pt idx="116">
                  <c:v>1.1474020056387277</c:v>
                </c:pt>
                <c:pt idx="117">
                  <c:v>1.1439626905161526</c:v>
                </c:pt>
                <c:pt idx="118">
                  <c:v>1.1366972430341349</c:v>
                </c:pt>
                <c:pt idx="119">
                  <c:v>1.1242641459984657</c:v>
                </c:pt>
                <c:pt idx="120">
                  <c:v>1.1051293530466797</c:v>
                </c:pt>
                <c:pt idx="121">
                  <c:v>1.0795262187423806</c:v>
                </c:pt>
                <c:pt idx="122">
                  <c:v>1.0502339031576358</c:v>
                </c:pt>
                <c:pt idx="123">
                  <c:v>1.0274235075683111</c:v>
                </c:pt>
                <c:pt idx="124">
                  <c:v>1.0228352833388548</c:v>
                </c:pt>
                <c:pt idx="125">
                  <c:v>1.0340511890371031</c:v>
                </c:pt>
                <c:pt idx="126">
                  <c:v>1.0517375278940759</c:v>
                </c:pt>
                <c:pt idx="127">
                  <c:v>1.0698184475929682</c:v>
                </c:pt>
                <c:pt idx="128">
                  <c:v>1.0851707374443942</c:v>
                </c:pt>
                <c:pt idx="129">
                  <c:v>1.0966755253571461</c:v>
                </c:pt>
                <c:pt idx="130">
                  <c:v>1.1052065836244545</c:v>
                </c:pt>
                <c:pt idx="131">
                  <c:v>1.1123646358891639</c:v>
                </c:pt>
              </c:numCache>
            </c:numRef>
          </c:val>
          <c:smooth val="0"/>
          <c:extLst>
            <c:ext xmlns:c16="http://schemas.microsoft.com/office/drawing/2014/chart" uri="{C3380CC4-5D6E-409C-BE32-E72D297353CC}">
              <c16:uniqueId val="{00000002-DB5D-4E25-9F1D-6EAB456397B7}"/>
            </c:ext>
          </c:extLst>
        </c:ser>
        <c:dLbls>
          <c:showLegendKey val="0"/>
          <c:showVal val="0"/>
          <c:showCatName val="0"/>
          <c:showSerName val="0"/>
          <c:showPercent val="0"/>
          <c:showBubbleSize val="0"/>
        </c:dLbls>
        <c:smooth val="0"/>
        <c:axId val="1995251903"/>
        <c:axId val="1995244415"/>
      </c:lineChart>
      <c:dateAx>
        <c:axId val="1995251903"/>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244415"/>
        <c:crosses val="autoZero"/>
        <c:auto val="1"/>
        <c:lblOffset val="100"/>
        <c:baseTimeUnit val="months"/>
        <c:majorUnit val="1"/>
        <c:majorTimeUnit val="years"/>
        <c:minorUnit val="1"/>
        <c:minorTimeUnit val="months"/>
      </c:dateAx>
      <c:valAx>
        <c:axId val="1995244415"/>
        <c:scaling>
          <c:orientation val="minMax"/>
          <c:max val="1.6"/>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Employment in Canada relative to 1st January 2010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25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[Full Query Early Warning CSA.xlsx]Bar Sector Growth!PivotTable3</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pivotFmt>
      <c:pivotFmt>
        <c:idx val="2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'Bar Sector Growth'!$I$3:$I$4</c:f>
              <c:strCache>
                <c:ptCount val="1"/>
                <c:pt idx="0">
                  <c:v>Music and Performance</c:v>
                </c:pt>
              </c:strCache>
            </c:strRef>
          </c:tx>
          <c:spPr>
            <a:solidFill>
              <a:schemeClr val="accent6">
                <a:tint val="50000"/>
              </a:schemeClr>
            </a:solidFill>
            <a:ln>
              <a:noFill/>
            </a:ln>
            <a:effectLst/>
          </c:spPr>
          <c:invertIfNegative val="0"/>
          <c:cat>
            <c:strRef>
              <c:f>'Bar Sector Growth'!$H$5:$H$6</c:f>
              <c:strCache>
                <c:ptCount val="1"/>
                <c:pt idx="0">
                  <c:v>11(Nov)</c:v>
                </c:pt>
              </c:strCache>
            </c:strRef>
          </c:cat>
          <c:val>
            <c:numRef>
              <c:f>'Bar Sector Growth'!$I$5:$I$6</c:f>
              <c:numCache>
                <c:formatCode>General</c:formatCode>
                <c:ptCount val="1"/>
                <c:pt idx="0">
                  <c:v>-0.1361097003555104</c:v>
                </c:pt>
              </c:numCache>
            </c:numRef>
          </c:val>
          <c:extLst>
            <c:ext xmlns:c16="http://schemas.microsoft.com/office/drawing/2014/chart" uri="{C3380CC4-5D6E-409C-BE32-E72D297353CC}">
              <c16:uniqueId val="{00000000-4ECA-4550-B9CB-EB5A07C68022}"/>
            </c:ext>
          </c:extLst>
        </c:ser>
        <c:ser>
          <c:idx val="1"/>
          <c:order val="1"/>
          <c:tx>
            <c:strRef>
              <c:f>'Bar Sector Growth'!$J$3:$J$4</c:f>
              <c:strCache>
                <c:ptCount val="1"/>
                <c:pt idx="0">
                  <c:v>Advertising and marketing</c:v>
                </c:pt>
              </c:strCache>
            </c:strRef>
          </c:tx>
          <c:spPr>
            <a:solidFill>
              <a:schemeClr val="accent6">
                <a:tint val="70000"/>
              </a:schemeClr>
            </a:solidFill>
            <a:ln>
              <a:noFill/>
            </a:ln>
            <a:effectLst/>
          </c:spPr>
          <c:invertIfNegative val="0"/>
          <c:cat>
            <c:strRef>
              <c:f>'Bar Sector Growth'!$H$5:$H$6</c:f>
              <c:strCache>
                <c:ptCount val="1"/>
                <c:pt idx="0">
                  <c:v>11(Nov)</c:v>
                </c:pt>
              </c:strCache>
            </c:strRef>
          </c:cat>
          <c:val>
            <c:numRef>
              <c:f>'Bar Sector Growth'!$J$5:$J$6</c:f>
              <c:numCache>
                <c:formatCode>General</c:formatCode>
                <c:ptCount val="1"/>
                <c:pt idx="0">
                  <c:v>-9.1833030852994546E-2</c:v>
                </c:pt>
              </c:numCache>
            </c:numRef>
          </c:val>
          <c:extLst>
            <c:ext xmlns:c16="http://schemas.microsoft.com/office/drawing/2014/chart" uri="{C3380CC4-5D6E-409C-BE32-E72D297353CC}">
              <c16:uniqueId val="{00000001-4ECA-4550-B9CB-EB5A07C68022}"/>
            </c:ext>
          </c:extLst>
        </c:ser>
        <c:ser>
          <c:idx val="2"/>
          <c:order val="2"/>
          <c:tx>
            <c:strRef>
              <c:f>'Bar Sector Growth'!$K$3:$K$4</c:f>
              <c:strCache>
                <c:ptCount val="1"/>
                <c:pt idx="0">
                  <c:v>Publishing</c:v>
                </c:pt>
              </c:strCache>
            </c:strRef>
          </c:tx>
          <c:spPr>
            <a:solidFill>
              <a:schemeClr val="accent6">
                <a:tint val="90000"/>
              </a:schemeClr>
            </a:solidFill>
            <a:ln>
              <a:noFill/>
            </a:ln>
            <a:effectLst/>
          </c:spPr>
          <c:invertIfNegative val="0"/>
          <c:cat>
            <c:strRef>
              <c:f>'Bar Sector Growth'!$H$5:$H$6</c:f>
              <c:strCache>
                <c:ptCount val="1"/>
                <c:pt idx="0">
                  <c:v>11(Nov)</c:v>
                </c:pt>
              </c:strCache>
            </c:strRef>
          </c:cat>
          <c:val>
            <c:numRef>
              <c:f>'Bar Sector Growth'!$K$5:$K$6</c:f>
              <c:numCache>
                <c:formatCode>General</c:formatCode>
                <c:ptCount val="1"/>
                <c:pt idx="0">
                  <c:v>-6.165343297524517E-2</c:v>
                </c:pt>
              </c:numCache>
            </c:numRef>
          </c:val>
          <c:extLst>
            <c:ext xmlns:c16="http://schemas.microsoft.com/office/drawing/2014/chart" uri="{C3380CC4-5D6E-409C-BE32-E72D297353CC}">
              <c16:uniqueId val="{00000002-4ECA-4550-B9CB-EB5A07C68022}"/>
            </c:ext>
          </c:extLst>
        </c:ser>
        <c:ser>
          <c:idx val="3"/>
          <c:order val="3"/>
          <c:tx>
            <c:strRef>
              <c:f>'Bar Sector Growth'!$L$3:$L$4</c:f>
              <c:strCache>
                <c:ptCount val="1"/>
                <c:pt idx="0">
                  <c:v>Architecture</c:v>
                </c:pt>
              </c:strCache>
            </c:strRef>
          </c:tx>
          <c:spPr>
            <a:solidFill>
              <a:schemeClr val="accent6">
                <a:shade val="90000"/>
              </a:schemeClr>
            </a:solidFill>
            <a:ln>
              <a:noFill/>
            </a:ln>
            <a:effectLst/>
          </c:spPr>
          <c:invertIfNegative val="0"/>
          <c:cat>
            <c:strRef>
              <c:f>'Bar Sector Growth'!$H$5:$H$6</c:f>
              <c:strCache>
                <c:ptCount val="1"/>
                <c:pt idx="0">
                  <c:v>11(Nov)</c:v>
                </c:pt>
              </c:strCache>
            </c:strRef>
          </c:cat>
          <c:val>
            <c:numRef>
              <c:f>'Bar Sector Growth'!$L$5:$L$6</c:f>
              <c:numCache>
                <c:formatCode>General</c:formatCode>
                <c:ptCount val="1"/>
                <c:pt idx="0">
                  <c:v>-3.6295793758480355E-2</c:v>
                </c:pt>
              </c:numCache>
            </c:numRef>
          </c:val>
          <c:extLst>
            <c:ext xmlns:c16="http://schemas.microsoft.com/office/drawing/2014/chart" uri="{C3380CC4-5D6E-409C-BE32-E72D297353CC}">
              <c16:uniqueId val="{00000003-4ECA-4550-B9CB-EB5A07C68022}"/>
            </c:ext>
          </c:extLst>
        </c:ser>
        <c:ser>
          <c:idx val="4"/>
          <c:order val="4"/>
          <c:tx>
            <c:strRef>
              <c:f>'Bar Sector Growth'!$M$3:$M$4</c:f>
              <c:strCache>
                <c:ptCount val="1"/>
                <c:pt idx="0">
                  <c:v>IT, software and computer services</c:v>
                </c:pt>
              </c:strCache>
            </c:strRef>
          </c:tx>
          <c:spPr>
            <a:solidFill>
              <a:schemeClr val="accent6">
                <a:shade val="70000"/>
              </a:schemeClr>
            </a:solidFill>
            <a:ln>
              <a:noFill/>
            </a:ln>
            <a:effectLst/>
          </c:spPr>
          <c:invertIfNegative val="0"/>
          <c:cat>
            <c:strRef>
              <c:f>'Bar Sector Growth'!$H$5:$H$6</c:f>
              <c:strCache>
                <c:ptCount val="1"/>
                <c:pt idx="0">
                  <c:v>11(Nov)</c:v>
                </c:pt>
              </c:strCache>
            </c:strRef>
          </c:cat>
          <c:val>
            <c:numRef>
              <c:f>'Bar Sector Growth'!$M$5:$M$6</c:f>
              <c:numCache>
                <c:formatCode>General</c:formatCode>
                <c:ptCount val="1"/>
                <c:pt idx="0">
                  <c:v>0.17138599105812213</c:v>
                </c:pt>
              </c:numCache>
            </c:numRef>
          </c:val>
          <c:extLst>
            <c:ext xmlns:c16="http://schemas.microsoft.com/office/drawing/2014/chart" uri="{C3380CC4-5D6E-409C-BE32-E72D297353CC}">
              <c16:uniqueId val="{00000004-4ECA-4550-B9CB-EB5A07C68022}"/>
            </c:ext>
          </c:extLst>
        </c:ser>
        <c:ser>
          <c:idx val="5"/>
          <c:order val="5"/>
          <c:tx>
            <c:strRef>
              <c:f>'Bar Sector Growth'!$N$3:$N$4</c:f>
              <c:strCache>
                <c:ptCount val="1"/>
                <c:pt idx="0">
                  <c:v>Film, TV, video, radio and photography</c:v>
                </c:pt>
              </c:strCache>
            </c:strRef>
          </c:tx>
          <c:spPr>
            <a:solidFill>
              <a:schemeClr val="accent6">
                <a:shade val="50000"/>
              </a:schemeClr>
            </a:solidFill>
            <a:ln>
              <a:noFill/>
            </a:ln>
            <a:effectLst/>
          </c:spPr>
          <c:invertIfNegative val="0"/>
          <c:cat>
            <c:strRef>
              <c:f>'Bar Sector Growth'!$H$5:$H$6</c:f>
              <c:strCache>
                <c:ptCount val="1"/>
                <c:pt idx="0">
                  <c:v>11(Nov)</c:v>
                </c:pt>
              </c:strCache>
            </c:strRef>
          </c:cat>
          <c:val>
            <c:numRef>
              <c:f>'Bar Sector Growth'!$N$5:$N$6</c:f>
              <c:numCache>
                <c:formatCode>General</c:formatCode>
                <c:ptCount val="1"/>
                <c:pt idx="0">
                  <c:v>0.21818181818181825</c:v>
                </c:pt>
              </c:numCache>
            </c:numRef>
          </c:val>
          <c:extLst>
            <c:ext xmlns:c16="http://schemas.microsoft.com/office/drawing/2014/chart" uri="{C3380CC4-5D6E-409C-BE32-E72D297353CC}">
              <c16:uniqueId val="{00000005-4ECA-4550-B9CB-EB5A07C68022}"/>
            </c:ext>
          </c:extLst>
        </c:ser>
        <c:dLbls>
          <c:showLegendKey val="0"/>
          <c:showVal val="0"/>
          <c:showCatName val="0"/>
          <c:showSerName val="0"/>
          <c:showPercent val="0"/>
          <c:showBubbleSize val="0"/>
        </c:dLbls>
        <c:gapWidth val="219"/>
        <c:axId val="2081892784"/>
        <c:axId val="2081897776"/>
      </c:barChart>
      <c:catAx>
        <c:axId val="2081892784"/>
        <c:scaling>
          <c:orientation val="minMax"/>
        </c:scaling>
        <c:delete val="1"/>
        <c:axPos val="l"/>
        <c:numFmt formatCode="General" sourceLinked="1"/>
        <c:majorTickMark val="none"/>
        <c:minorTickMark val="none"/>
        <c:tickLblPos val="low"/>
        <c:crossAx val="2081897776"/>
        <c:crosses val="autoZero"/>
        <c:auto val="1"/>
        <c:lblAlgn val="ctr"/>
        <c:lblOffset val="100"/>
        <c:noMultiLvlLbl val="0"/>
      </c:catAx>
      <c:valAx>
        <c:axId val="208189777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9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pivotFmt>
      <c:pivotFmt>
        <c:idx val="2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'Main Industries Canada'!$H$23</c:f>
              <c:strCache>
                <c:ptCount val="1"/>
                <c:pt idx="0">
                  <c:v>Labour Force Growth 2010-2019</c:v>
                </c:pt>
              </c:strCache>
            </c:strRef>
          </c:tx>
          <c:spPr>
            <a:solidFill>
              <a:schemeClr val="accent6">
                <a:tint val="50000"/>
              </a:schemeClr>
            </a:solidFill>
            <a:ln>
              <a:noFill/>
            </a:ln>
            <a:effectLst/>
          </c:spPr>
          <c:invertIfNegative val="0"/>
          <c:dPt>
            <c:idx val="9"/>
            <c:invertIfNegative val="0"/>
            <c:bubble3D val="0"/>
            <c:spPr>
              <a:solidFill>
                <a:srgbClr val="70AD47">
                  <a:lumMod val="60000"/>
                  <a:lumOff val="40000"/>
                </a:srgbClr>
              </a:solidFill>
              <a:ln>
                <a:noFill/>
              </a:ln>
              <a:effectLst/>
            </c:spPr>
            <c:extLst>
              <c:ext xmlns:c16="http://schemas.microsoft.com/office/drawing/2014/chart" uri="{C3380CC4-5D6E-409C-BE32-E72D297353CC}">
                <c16:uniqueId val="{00000001-0A98-406E-A8EB-1283C644BC19}"/>
              </c:ext>
            </c:extLst>
          </c:dPt>
          <c:dPt>
            <c:idx val="14"/>
            <c:invertIfNegative val="0"/>
            <c:bubble3D val="0"/>
            <c:spPr>
              <a:solidFill>
                <a:srgbClr val="70AD47">
                  <a:lumMod val="75000"/>
                </a:srgbClr>
              </a:solidFill>
              <a:ln>
                <a:noFill/>
              </a:ln>
              <a:effectLst/>
            </c:spPr>
            <c:extLst>
              <c:ext xmlns:c16="http://schemas.microsoft.com/office/drawing/2014/chart" uri="{C3380CC4-5D6E-409C-BE32-E72D297353CC}">
                <c16:uniqueId val="{00000003-0A98-406E-A8EB-1283C644BC19}"/>
              </c:ext>
            </c:extLst>
          </c:dPt>
          <c:cat>
            <c:strRef>
              <c:f>'Main Industries Canada'!$G$24:$G$38</c:f>
              <c:strCache>
                <c:ptCount val="15"/>
                <c:pt idx="0">
                  <c:v>Agriculture,Forestry</c:v>
                </c:pt>
                <c:pt idx="1">
                  <c:v>Utilities</c:v>
                </c:pt>
                <c:pt idx="2">
                  <c:v>Manufacturing</c:v>
                </c:pt>
                <c:pt idx="3">
                  <c:v>Wholesale Trade</c:v>
                </c:pt>
                <c:pt idx="4">
                  <c:v>Retail Trade</c:v>
                </c:pt>
                <c:pt idx="5">
                  <c:v>Mining, quarrying, and oil and gas extraction</c:v>
                </c:pt>
                <c:pt idx="6">
                  <c:v>Accommodation and food services</c:v>
                </c:pt>
                <c:pt idx="7">
                  <c:v>Public administration</c:v>
                </c:pt>
                <c:pt idx="8">
                  <c:v>Finance and Insurance</c:v>
                </c:pt>
                <c:pt idx="9">
                  <c:v>Grand Total</c:v>
                </c:pt>
                <c:pt idx="10">
                  <c:v>Construction</c:v>
                </c:pt>
                <c:pt idx="11">
                  <c:v>Real estate and rental and leasing</c:v>
                </c:pt>
                <c:pt idx="12">
                  <c:v>Health care and social assistance</c:v>
                </c:pt>
                <c:pt idx="13">
                  <c:v>Transportation and warehousing</c:v>
                </c:pt>
                <c:pt idx="14">
                  <c:v>Creative and Cultural Industries</c:v>
                </c:pt>
              </c:strCache>
            </c:strRef>
          </c:cat>
          <c:val>
            <c:numRef>
              <c:f>'Main Industries Canada'!$H$24:$H$38</c:f>
              <c:numCache>
                <c:formatCode>0.00%</c:formatCode>
                <c:ptCount val="15"/>
                <c:pt idx="0">
                  <c:v>-9.7679017374365795E-3</c:v>
                </c:pt>
                <c:pt idx="1">
                  <c:v>-2.4641832713858669E-3</c:v>
                </c:pt>
                <c:pt idx="2">
                  <c:v>-1.6017211103728224E-3</c:v>
                </c:pt>
                <c:pt idx="3">
                  <c:v>2.6906648378410836E-4</c:v>
                </c:pt>
                <c:pt idx="4">
                  <c:v>5.4819390649469835E-3</c:v>
                </c:pt>
                <c:pt idx="5">
                  <c:v>6.8688574763962063E-3</c:v>
                </c:pt>
                <c:pt idx="6">
                  <c:v>8.8814117456588182E-3</c:v>
                </c:pt>
                <c:pt idx="7">
                  <c:v>1.0226288208839529E-2</c:v>
                </c:pt>
                <c:pt idx="8">
                  <c:v>1.0442071118770713E-2</c:v>
                </c:pt>
                <c:pt idx="9">
                  <c:v>1.0674504480758795E-2</c:v>
                </c:pt>
                <c:pt idx="10">
                  <c:v>1.4884977183635462E-2</c:v>
                </c:pt>
                <c:pt idx="11">
                  <c:v>1.4952675349337197E-2</c:v>
                </c:pt>
                <c:pt idx="12">
                  <c:v>2.144710422422258E-2</c:v>
                </c:pt>
                <c:pt idx="13">
                  <c:v>2.5366807784358514E-2</c:v>
                </c:pt>
                <c:pt idx="14">
                  <c:v>2.9163293145978209E-2</c:v>
                </c:pt>
              </c:numCache>
            </c:numRef>
          </c:val>
          <c:extLst>
            <c:ext xmlns:c16="http://schemas.microsoft.com/office/drawing/2014/chart" uri="{C3380CC4-5D6E-409C-BE32-E72D297353CC}">
              <c16:uniqueId val="{00000004-0A98-406E-A8EB-1283C644BC19}"/>
            </c:ext>
          </c:extLst>
        </c:ser>
        <c:dLbls>
          <c:showLegendKey val="0"/>
          <c:showVal val="0"/>
          <c:showCatName val="0"/>
          <c:showSerName val="0"/>
          <c:showPercent val="0"/>
          <c:showBubbleSize val="0"/>
        </c:dLbls>
        <c:gapWidth val="16"/>
        <c:axId val="2081892784"/>
        <c:axId val="2081897776"/>
      </c:barChart>
      <c:catAx>
        <c:axId val="208189278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81897776"/>
        <c:crosses val="autoZero"/>
        <c:auto val="1"/>
        <c:lblAlgn val="ctr"/>
        <c:lblOffset val="100"/>
        <c:noMultiLvlLbl val="0"/>
      </c:catAx>
      <c:valAx>
        <c:axId val="208189777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92784"/>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pivotFmt>
      <c:pivotFmt>
        <c:idx val="2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Provinces!$H$23</c:f>
              <c:strCache>
                <c:ptCount val="1"/>
                <c:pt idx="0">
                  <c:v>Creative and Cultural</c:v>
                </c:pt>
              </c:strCache>
            </c:strRef>
          </c:tx>
          <c:spPr>
            <a:solidFill>
              <a:schemeClr val="accent6">
                <a:shade val="76000"/>
              </a:schemeClr>
            </a:solidFill>
            <a:ln>
              <a:noFill/>
            </a:ln>
            <a:effectLst/>
          </c:spPr>
          <c:invertIfNegative val="0"/>
          <c:cat>
            <c:strRef>
              <c:f>Provinces!$G$24:$G$35</c:f>
              <c:strCache>
                <c:ptCount val="12"/>
                <c:pt idx="0">
                  <c:v>New Brunswick</c:v>
                </c:pt>
                <c:pt idx="1">
                  <c:v>Nova Scotia</c:v>
                </c:pt>
                <c:pt idx="2">
                  <c:v>Quebec</c:v>
                </c:pt>
                <c:pt idx="3">
                  <c:v>Manitoba</c:v>
                </c:pt>
                <c:pt idx="4">
                  <c:v>Saskatchewan</c:v>
                </c:pt>
                <c:pt idx="5">
                  <c:v>Canada</c:v>
                </c:pt>
                <c:pt idx="6">
                  <c:v>Newfoundland and Labrador</c:v>
                </c:pt>
                <c:pt idx="7">
                  <c:v>Alberta</c:v>
                </c:pt>
                <c:pt idx="8">
                  <c:v>Ontario</c:v>
                </c:pt>
                <c:pt idx="9">
                  <c:v>Prince Edward Island</c:v>
                </c:pt>
                <c:pt idx="10">
                  <c:v>British Columbia</c:v>
                </c:pt>
                <c:pt idx="11">
                  <c:v>North (NorthWest, Northern, Nunavut and Yukon)</c:v>
                </c:pt>
              </c:strCache>
            </c:strRef>
          </c:cat>
          <c:val>
            <c:numRef>
              <c:f>Provinces!$H$24:$H$35</c:f>
              <c:numCache>
                <c:formatCode>0.00%</c:formatCode>
                <c:ptCount val="12"/>
                <c:pt idx="0">
                  <c:v>1.1203342973129304E-2</c:v>
                </c:pt>
                <c:pt idx="1">
                  <c:v>1.8111439285760866E-2</c:v>
                </c:pt>
                <c:pt idx="2">
                  <c:v>2.110060945534431E-2</c:v>
                </c:pt>
                <c:pt idx="3">
                  <c:v>2.1247121223179954E-2</c:v>
                </c:pt>
                <c:pt idx="4">
                  <c:v>2.5865473995332566E-2</c:v>
                </c:pt>
                <c:pt idx="5">
                  <c:v>2.9163293145978209E-2</c:v>
                </c:pt>
                <c:pt idx="6">
                  <c:v>2.9205428541743794E-2</c:v>
                </c:pt>
                <c:pt idx="7">
                  <c:v>3.0341525153206428E-2</c:v>
                </c:pt>
                <c:pt idx="8">
                  <c:v>3.2286310634806803E-2</c:v>
                </c:pt>
                <c:pt idx="9">
                  <c:v>3.2386655276898102E-2</c:v>
                </c:pt>
                <c:pt idx="10">
                  <c:v>3.7276287278824149E-2</c:v>
                </c:pt>
                <c:pt idx="11">
                  <c:v>7.8428203874365998E-2</c:v>
                </c:pt>
              </c:numCache>
            </c:numRef>
          </c:val>
          <c:extLst>
            <c:ext xmlns:c16="http://schemas.microsoft.com/office/drawing/2014/chart" uri="{C3380CC4-5D6E-409C-BE32-E72D297353CC}">
              <c16:uniqueId val="{00000000-2284-410E-9FED-551ADFA27BBE}"/>
            </c:ext>
          </c:extLst>
        </c:ser>
        <c:ser>
          <c:idx val="1"/>
          <c:order val="1"/>
          <c:tx>
            <c:strRef>
              <c:f>Provinces!$I$23</c:f>
              <c:strCache>
                <c:ptCount val="1"/>
                <c:pt idx="0">
                  <c:v>Other</c:v>
                </c:pt>
              </c:strCache>
            </c:strRef>
          </c:tx>
          <c:spPr>
            <a:solidFill>
              <a:schemeClr val="accent6">
                <a:tint val="77000"/>
              </a:schemeClr>
            </a:solidFill>
            <a:ln>
              <a:noFill/>
            </a:ln>
            <a:effectLst/>
          </c:spPr>
          <c:invertIfNegative val="0"/>
          <c:cat>
            <c:strRef>
              <c:f>Provinces!$G$24:$G$35</c:f>
              <c:strCache>
                <c:ptCount val="12"/>
                <c:pt idx="0">
                  <c:v>New Brunswick</c:v>
                </c:pt>
                <c:pt idx="1">
                  <c:v>Nova Scotia</c:v>
                </c:pt>
                <c:pt idx="2">
                  <c:v>Quebec</c:v>
                </c:pt>
                <c:pt idx="3">
                  <c:v>Manitoba</c:v>
                </c:pt>
                <c:pt idx="4">
                  <c:v>Saskatchewan</c:v>
                </c:pt>
                <c:pt idx="5">
                  <c:v>Canada</c:v>
                </c:pt>
                <c:pt idx="6">
                  <c:v>Newfoundland and Labrador</c:v>
                </c:pt>
                <c:pt idx="7">
                  <c:v>Alberta</c:v>
                </c:pt>
                <c:pt idx="8">
                  <c:v>Ontario</c:v>
                </c:pt>
                <c:pt idx="9">
                  <c:v>Prince Edward Island</c:v>
                </c:pt>
                <c:pt idx="10">
                  <c:v>British Columbia</c:v>
                </c:pt>
                <c:pt idx="11">
                  <c:v>North (NorthWest, Northern, Nunavut and Yukon)</c:v>
                </c:pt>
              </c:strCache>
            </c:strRef>
          </c:cat>
          <c:val>
            <c:numRef>
              <c:f>Provinces!$I$24:$I$35</c:f>
              <c:numCache>
                <c:formatCode>0.00%</c:formatCode>
                <c:ptCount val="12"/>
                <c:pt idx="0">
                  <c:v>-2.5493732344662456E-3</c:v>
                </c:pt>
                <c:pt idx="1">
                  <c:v>2.4371935325673277E-5</c:v>
                </c:pt>
                <c:pt idx="2">
                  <c:v>7.0261112238603207E-3</c:v>
                </c:pt>
                <c:pt idx="3">
                  <c:v>6.8121129008800185E-3</c:v>
                </c:pt>
                <c:pt idx="4">
                  <c:v>8.0328447778994505E-3</c:v>
                </c:pt>
                <c:pt idx="5">
                  <c:v>8.7361101783394179E-3</c:v>
                </c:pt>
                <c:pt idx="6">
                  <c:v>-3.9379125091345557E-3</c:v>
                </c:pt>
                <c:pt idx="7">
                  <c:v>1.4857918241288459E-2</c:v>
                </c:pt>
                <c:pt idx="8">
                  <c:v>9.6794517416700643E-3</c:v>
                </c:pt>
                <c:pt idx="9">
                  <c:v>1.0916103117083242E-2</c:v>
                </c:pt>
                <c:pt idx="10">
                  <c:v>1.0776813923002893E-2</c:v>
                </c:pt>
                <c:pt idx="11">
                  <c:v>1.3065924162273923E-2</c:v>
                </c:pt>
              </c:numCache>
            </c:numRef>
          </c:val>
          <c:extLst>
            <c:ext xmlns:c16="http://schemas.microsoft.com/office/drawing/2014/chart" uri="{C3380CC4-5D6E-409C-BE32-E72D297353CC}">
              <c16:uniqueId val="{00000001-2284-410E-9FED-551ADFA27BBE}"/>
            </c:ext>
          </c:extLst>
        </c:ser>
        <c:dLbls>
          <c:showLegendKey val="0"/>
          <c:showVal val="0"/>
          <c:showCatName val="0"/>
          <c:showSerName val="0"/>
          <c:showPercent val="0"/>
          <c:showBubbleSize val="0"/>
        </c:dLbls>
        <c:gapWidth val="18"/>
        <c:overlap val="41"/>
        <c:axId val="2081892784"/>
        <c:axId val="2081897776"/>
      </c:barChart>
      <c:catAx>
        <c:axId val="208189278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97776"/>
        <c:crosses val="autoZero"/>
        <c:auto val="1"/>
        <c:lblAlgn val="ctr"/>
        <c:lblOffset val="100"/>
        <c:noMultiLvlLbl val="0"/>
      </c:catAx>
      <c:valAx>
        <c:axId val="208189777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9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1759-0A1D-4120-A043-6531D468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5</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afreeman@iwgvt.org</dc:creator>
  <cp:keywords/>
  <dc:description/>
  <cp:lastModifiedBy>Alan Freeman</cp:lastModifiedBy>
  <cp:revision>79</cp:revision>
  <dcterms:created xsi:type="dcterms:W3CDTF">2021-03-08T17:38:00Z</dcterms:created>
  <dcterms:modified xsi:type="dcterms:W3CDTF">2021-03-11T17:34:00Z</dcterms:modified>
</cp:coreProperties>
</file>