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F08C5" w14:textId="77777777" w:rsidR="00DC7F3D" w:rsidRPr="00920BC4" w:rsidRDefault="00DC7F3D" w:rsidP="00920BC4">
      <w:pPr>
        <w:pStyle w:val="Heading1"/>
      </w:pPr>
      <w:r w:rsidRPr="00920BC4">
        <w:t>References</w:t>
      </w:r>
    </w:p>
    <w:p w14:paraId="55BBC84F" w14:textId="08C7A0A7" w:rsidR="00920BC4" w:rsidRDefault="00920BC4" w:rsidP="00920BC4">
      <w:pPr>
        <w:pStyle w:val="Heading2"/>
      </w:pPr>
      <w:r>
        <w:t>Degrowth</w:t>
      </w:r>
    </w:p>
    <w:p w14:paraId="3AAE3AB0" w14:textId="34F9298D" w:rsidR="001A1A6B" w:rsidRDefault="001A1A6B" w:rsidP="001A1A6B">
      <w:pPr>
        <w:rPr>
          <w:rStyle w:val="a-size-extra-large"/>
        </w:rPr>
      </w:pPr>
      <w:r>
        <w:t xml:space="preserve">Liegey, V, and </w:t>
      </w:r>
      <w:r w:rsidRPr="006D0E87">
        <w:rPr>
          <w:rStyle w:val="a-declarative"/>
        </w:rPr>
        <w:t>Anitra Nelson</w:t>
      </w:r>
      <w:r>
        <w:rPr>
          <w:rStyle w:val="a-declarative"/>
        </w:rPr>
        <w:t xml:space="preserve">. 2020. </w:t>
      </w:r>
      <w:r>
        <w:rPr>
          <w:rStyle w:val="a-size-extra-large"/>
        </w:rPr>
        <w:t>Exploring Degrowth: A Critical Guide. London: Pluto Press</w:t>
      </w:r>
    </w:p>
    <w:p w14:paraId="163DA5FA" w14:textId="2A927ACA" w:rsidR="00920BC4" w:rsidRPr="00920BC4" w:rsidRDefault="00920BC4" w:rsidP="00920BC4">
      <w:pPr>
        <w:pStyle w:val="Heading2"/>
      </w:pPr>
      <w:r w:rsidRPr="00920BC4">
        <w:t>On the 2008 crash</w:t>
      </w:r>
    </w:p>
    <w:p w14:paraId="7A8626A1" w14:textId="593D0D8C" w:rsidR="00DC7F3D" w:rsidRDefault="001A1A6B" w:rsidP="00DC7F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Independent Evaluation Office of the International Monetary Fund: </w:t>
      </w:r>
      <w:hyperlink r:id="rId4" w:history="1">
        <w:r w:rsidR="008F2C5E" w:rsidRPr="00FF2BBD">
          <w:rPr>
            <w:rStyle w:val="Hyperlink"/>
            <w:rFonts w:ascii="Calibri" w:hAnsi="Calibri" w:cs="Calibri"/>
            <w:sz w:val="20"/>
            <w:szCs w:val="20"/>
          </w:rPr>
          <w:t>https://ieo.imf.org/</w:t>
        </w:r>
      </w:hyperlink>
      <w:r w:rsidR="008F2C5E">
        <w:rPr>
          <w:rFonts w:ascii="Calibri" w:hAnsi="Calibri" w:cs="Calibri"/>
          <w:sz w:val="20"/>
          <w:szCs w:val="20"/>
        </w:rPr>
        <w:t xml:space="preserve"> </w:t>
      </w:r>
    </w:p>
    <w:p w14:paraId="77A74E35" w14:textId="77777777" w:rsidR="00D30B6A" w:rsidRDefault="008F2C5E" w:rsidP="00DC7F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IEO evaluation of IMF performance in the runup to the 2008 crash: </w:t>
      </w:r>
    </w:p>
    <w:p w14:paraId="488331E4" w14:textId="0B656FA6" w:rsidR="00D30B6A" w:rsidRDefault="00D30B6A" w:rsidP="00DC7F3D">
      <w:pPr>
        <w:rPr>
          <w:rFonts w:ascii="Calibri" w:hAnsi="Calibri" w:cs="Calibri"/>
          <w:sz w:val="20"/>
          <w:szCs w:val="20"/>
        </w:rPr>
      </w:pPr>
      <w:hyperlink r:id="rId5" w:history="1">
        <w:r w:rsidRPr="00FF2BBD">
          <w:rPr>
            <w:rStyle w:val="Hyperlink"/>
            <w:rFonts w:ascii="Calibri" w:hAnsi="Calibri" w:cs="Calibri"/>
            <w:sz w:val="20"/>
            <w:szCs w:val="20"/>
          </w:rPr>
          <w:t>https://ieo.imf.org/-/media/IEO/Files/evaluations/completed/02-09-2011-imf-performance-in-the-run-up-to-the-financial-and-econom/crisis-main-report-without-moises-signature.ashx</w:t>
        </w:r>
      </w:hyperlink>
    </w:p>
    <w:p w14:paraId="71B493CE" w14:textId="3D8C5557" w:rsidR="00D30B6A" w:rsidRDefault="00D30B6A" w:rsidP="00920BC4">
      <w:pPr>
        <w:rPr>
          <w:rFonts w:ascii="Calibri" w:hAnsi="Calibri" w:cs="Calibri"/>
          <w:sz w:val="20"/>
          <w:szCs w:val="20"/>
        </w:rPr>
      </w:pPr>
      <w:hyperlink r:id="rId6" w:history="1">
        <w:r w:rsidRPr="00FF2BBD">
          <w:rPr>
            <w:rStyle w:val="Hyperlink"/>
            <w:rFonts w:ascii="Calibri" w:hAnsi="Calibri" w:cs="Calibri"/>
            <w:sz w:val="20"/>
            <w:szCs w:val="20"/>
          </w:rPr>
          <w:t>https://ieo.imf.org/-/media/IEO/Files/evaluations/completed/02-09-2011-imf-performance-in-the-run-up-to-the-financial-and-econom/01102011crisis-bp4-us-bilateral-surveillance.ashx</w:t>
        </w:r>
      </w:hyperlink>
    </w:p>
    <w:p w14:paraId="0C61BC82" w14:textId="3D9E01B7" w:rsidR="00920BC4" w:rsidRDefault="00920BC4" w:rsidP="00920BC4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Samuelson, P. and W. Nordhaus. 1992. </w:t>
      </w:r>
      <w:r>
        <w:rPr>
          <w:rFonts w:ascii="Calibri-Italic" w:hAnsi="Calibri-Italic" w:cs="Calibri-Italic"/>
          <w:i/>
          <w:iCs/>
          <w:sz w:val="20"/>
          <w:szCs w:val="20"/>
        </w:rPr>
        <w:t xml:space="preserve">Economics </w:t>
      </w:r>
      <w:r>
        <w:rPr>
          <w:rFonts w:ascii="Calibri" w:hAnsi="Calibri" w:cs="Calibri"/>
          <w:sz w:val="20"/>
          <w:szCs w:val="20"/>
        </w:rPr>
        <w:t>(Fourteenth Edition). McGraw‐Hill.</w:t>
      </w:r>
    </w:p>
    <w:p w14:paraId="2E9B0A95" w14:textId="33BF70C5" w:rsidR="00920BC4" w:rsidRDefault="00920BC4" w:rsidP="00920BC4">
      <w:pPr>
        <w:pStyle w:val="Heading2"/>
      </w:pPr>
      <w:r>
        <w:t>COVID data</w:t>
      </w:r>
    </w:p>
    <w:p w14:paraId="0784F284" w14:textId="6F3E30C6" w:rsidR="00DC7F3D" w:rsidRDefault="00920BC4" w:rsidP="00DC7F3D">
      <w:hyperlink r:id="rId7" w:history="1">
        <w:r w:rsidRPr="00FF2BBD">
          <w:rPr>
            <w:rStyle w:val="Hyperlink"/>
          </w:rPr>
          <w:t>https://ourworldindata.org/coronavirus-data</w:t>
        </w:r>
      </w:hyperlink>
    </w:p>
    <w:p w14:paraId="64887B02" w14:textId="77777777" w:rsidR="00DC7F3D" w:rsidRDefault="00DC7F3D" w:rsidP="00DC7F3D">
      <w:hyperlink r:id="rId8" w:history="1">
        <w:r w:rsidRPr="0031609F">
          <w:rPr>
            <w:rStyle w:val="Hyperlink"/>
          </w:rPr>
          <w:t>https://coronavirus.jhu.edu/map.html</w:t>
        </w:r>
      </w:hyperlink>
    </w:p>
    <w:p w14:paraId="36472F13" w14:textId="77777777" w:rsidR="000B7EF5" w:rsidRDefault="000B7EF5"/>
    <w:sectPr w:rsidR="000B7E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C8"/>
    <w:rsid w:val="000B7EF5"/>
    <w:rsid w:val="001A1A6B"/>
    <w:rsid w:val="008F2C5E"/>
    <w:rsid w:val="00920BC4"/>
    <w:rsid w:val="00D30B6A"/>
    <w:rsid w:val="00DC7F3D"/>
    <w:rsid w:val="00E47CC8"/>
    <w:rsid w:val="00F1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2A05"/>
  <w15:chartTrackingRefBased/>
  <w15:docId w15:val="{C0727B54-B8E9-43AB-87F2-98F05D74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C08"/>
    <w:rPr>
      <w:rFonts w:ascii="Baskerville Old Face" w:hAnsi="Baskerville Old Fac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C08"/>
    <w:pPr>
      <w:keepNext/>
      <w:keepLines/>
      <w:spacing w:before="240" w:after="0"/>
      <w:outlineLvl w:val="0"/>
    </w:pPr>
    <w:rPr>
      <w:rFonts w:ascii="Copperplate Gothic Bold" w:eastAsiaTheme="majorEastAsia" w:hAnsi="Copperplate Gothic Bold" w:cstheme="majorBidi"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C08"/>
    <w:pPr>
      <w:keepNext/>
      <w:keepLines/>
      <w:spacing w:before="40" w:after="0"/>
      <w:outlineLvl w:val="1"/>
    </w:pPr>
    <w:rPr>
      <w:rFonts w:ascii="Copperplate Gothic Bold" w:eastAsiaTheme="majorEastAsia" w:hAnsi="Copperplate Gothic Bold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C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C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F3D"/>
    <w:rPr>
      <w:color w:val="0563C1" w:themeColor="hyperlink"/>
      <w:u w:val="single"/>
    </w:rPr>
  </w:style>
  <w:style w:type="character" w:customStyle="1" w:styleId="a-size-extra-large">
    <w:name w:val="a-size-extra-large"/>
    <w:basedOn w:val="DefaultParagraphFont"/>
    <w:rsid w:val="001A1A6B"/>
  </w:style>
  <w:style w:type="character" w:customStyle="1" w:styleId="a-declarative">
    <w:name w:val="a-declarative"/>
    <w:basedOn w:val="DefaultParagraphFont"/>
    <w:rsid w:val="001A1A6B"/>
  </w:style>
  <w:style w:type="character" w:styleId="UnresolvedMention">
    <w:name w:val="Unresolved Mention"/>
    <w:basedOn w:val="DefaultParagraphFont"/>
    <w:uiPriority w:val="99"/>
    <w:semiHidden/>
    <w:unhideWhenUsed/>
    <w:rsid w:val="001A1A6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15C08"/>
    <w:rPr>
      <w:rFonts w:ascii="Copperplate Gothic Bold" w:eastAsiaTheme="majorEastAsia" w:hAnsi="Copperplate Gothic Bold" w:cstheme="majorBidi"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5C08"/>
    <w:rPr>
      <w:rFonts w:ascii="Copperplate Gothic Bold" w:eastAsiaTheme="majorEastAsia" w:hAnsi="Copperplate Gothic Bold" w:cstheme="majorBidi"/>
      <w:sz w:val="26"/>
      <w:szCs w:val="26"/>
    </w:rPr>
  </w:style>
  <w:style w:type="paragraph" w:customStyle="1" w:styleId="CVText">
    <w:name w:val="CV Text"/>
    <w:basedOn w:val="BodyText"/>
    <w:qFormat/>
    <w:rsid w:val="00F15C08"/>
    <w:pPr>
      <w:keepLines/>
      <w:spacing w:after="60" w:line="276" w:lineRule="auto"/>
      <w:ind w:left="1004" w:hanging="720"/>
    </w:pPr>
    <w:rPr>
      <w:rFonts w:asciiTheme="minorHAnsi" w:eastAsiaTheme="minorEastAsia" w:hAnsiTheme="minorHAnsi"/>
      <w:sz w:val="24"/>
      <w:szCs w:val="20"/>
      <w:lang w:val="en-US" w:eastAsia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F15C0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15C08"/>
  </w:style>
  <w:style w:type="paragraph" w:customStyle="1" w:styleId="NormalNospace">
    <w:name w:val="Normal Nospace"/>
    <w:basedOn w:val="Normal"/>
    <w:qFormat/>
    <w:rsid w:val="00F15C08"/>
    <w:pPr>
      <w:spacing w:after="0" w:line="240" w:lineRule="auto"/>
      <w:jc w:val="center"/>
    </w:pPr>
    <w:rPr>
      <w:noProof/>
    </w:rPr>
  </w:style>
  <w:style w:type="paragraph" w:customStyle="1" w:styleId="Notenospace">
    <w:name w:val="Note nospace"/>
    <w:basedOn w:val="Normal"/>
    <w:qFormat/>
    <w:rsid w:val="00F15C08"/>
    <w:pPr>
      <w:spacing w:line="240" w:lineRule="auto"/>
      <w:jc w:val="both"/>
    </w:pPr>
    <w:rPr>
      <w:b/>
      <w:sz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C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C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ootnoteText">
    <w:name w:val="footnote text"/>
    <w:link w:val="FootnoteTextChar"/>
    <w:qFormat/>
    <w:rsid w:val="00F15C0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Baskerville Old Face" w:eastAsia="Calibri" w:hAnsi="Baskerville Old Face" w:cs="Calibri"/>
      <w:color w:val="000000"/>
      <w:sz w:val="20"/>
      <w:szCs w:val="20"/>
      <w:u w:color="000000"/>
      <w:bdr w:val="nil"/>
      <w:lang w:val="ru-RU" w:eastAsia="ru-RU"/>
    </w:rPr>
  </w:style>
  <w:style w:type="character" w:customStyle="1" w:styleId="FootnoteTextChar">
    <w:name w:val="Footnote Text Char"/>
    <w:basedOn w:val="DefaultParagraphFont"/>
    <w:link w:val="FootnoteText"/>
    <w:rsid w:val="00F15C08"/>
    <w:rPr>
      <w:rFonts w:ascii="Baskerville Old Face" w:eastAsia="Calibri" w:hAnsi="Baskerville Old Face" w:cs="Calibri"/>
      <w:color w:val="000000"/>
      <w:sz w:val="20"/>
      <w:szCs w:val="20"/>
      <w:u w:color="000000"/>
      <w:bdr w:val="nil"/>
      <w:lang w:val="ru-RU" w:eastAsia="ru-RU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5C08"/>
    <w:pPr>
      <w:keepNext/>
      <w:keepLines/>
      <w:spacing w:after="0" w:line="240" w:lineRule="auto"/>
    </w:pPr>
    <w:rPr>
      <w:b/>
      <w:iCs/>
      <w:smallCaps/>
      <w:color w:val="44546A" w:themeColor="text2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F15C0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F15C08"/>
    <w:rPr>
      <w:rFonts w:ascii="Baskerville Old Face" w:hAnsi="Baskerville Old Face"/>
    </w:rPr>
  </w:style>
  <w:style w:type="paragraph" w:styleId="ListParagraph">
    <w:name w:val="List Paragraph"/>
    <w:basedOn w:val="Normal"/>
    <w:uiPriority w:val="34"/>
    <w:qFormat/>
    <w:rsid w:val="00F15C0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15C08"/>
    <w:pPr>
      <w:spacing w:before="120" w:after="120"/>
      <w:ind w:left="567" w:right="567"/>
      <w:jc w:val="both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C08"/>
    <w:rPr>
      <w:rFonts w:ascii="Baskerville Old Face" w:hAnsi="Baskerville Old Face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onavirus.jhu.edu/map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urworldindata.org/coronavirus-d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o.imf.org/-/media/IEO/Files/evaluations/completed/02-09-2011-imf-performance-in-the-run-up-to-the-financial-and-econom/01102011crisis-bp4-us-bilateral-surveillance.ashx" TargetMode="External"/><Relationship Id="rId5" Type="http://schemas.openxmlformats.org/officeDocument/2006/relationships/hyperlink" Target="https://ieo.imf.org/-/media/IEO/Files/evaluations/completed/02-09-2011-imf-performance-in-the-run-up-to-the-financial-and-econom/crisis-main-report-without-moises-signature.ashx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eo.imf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Freeman</dc:creator>
  <cp:keywords/>
  <dc:description/>
  <cp:lastModifiedBy>Alan Freeman</cp:lastModifiedBy>
  <cp:revision>5</cp:revision>
  <dcterms:created xsi:type="dcterms:W3CDTF">2021-12-11T10:55:00Z</dcterms:created>
  <dcterms:modified xsi:type="dcterms:W3CDTF">2021-12-11T11:39:00Z</dcterms:modified>
</cp:coreProperties>
</file>