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08C5" w14:textId="0AD10494" w:rsidR="00DC7F3D" w:rsidRPr="00920BC4" w:rsidRDefault="00DC7F3D" w:rsidP="00920BC4">
      <w:pPr>
        <w:pStyle w:val="Heading1"/>
      </w:pPr>
      <w:r w:rsidRPr="00920BC4">
        <w:t>References</w:t>
      </w:r>
      <w:r w:rsidR="000244D4">
        <w:t xml:space="preserve"> including abbreviations</w:t>
      </w:r>
    </w:p>
    <w:p w14:paraId="7992AB04" w14:textId="66D4A364" w:rsidR="00CE5A66" w:rsidRDefault="00CE5A66" w:rsidP="00920BC4">
      <w:pPr>
        <w:pStyle w:val="Heading2"/>
      </w:pPr>
      <w:r>
        <w:t>Main reference site for data and exercises</w:t>
      </w:r>
    </w:p>
    <w:p w14:paraId="49FA0B77" w14:textId="77777777" w:rsidR="00CE5A66" w:rsidRDefault="00F52166" w:rsidP="00CE5A66">
      <w:hyperlink r:id="rId5" w:history="1">
        <w:r w:rsidR="00CE5A66" w:rsidRPr="00CC50AB">
          <w:rPr>
            <w:rStyle w:val="Hyperlink"/>
          </w:rPr>
          <w:t>https://github.com/axfreeman/Using-Economic-Data/tree/main/Resources</w:t>
        </w:r>
      </w:hyperlink>
    </w:p>
    <w:p w14:paraId="3053FE48" w14:textId="51851565" w:rsidR="000E2F45" w:rsidRDefault="000E2F45" w:rsidP="00920BC4">
      <w:pPr>
        <w:pStyle w:val="Heading2"/>
      </w:pPr>
      <w:r>
        <w:t xml:space="preserve">Data sources </w:t>
      </w:r>
    </w:p>
    <w:p w14:paraId="2CA08598" w14:textId="714970EB" w:rsidR="000E2F45" w:rsidRDefault="000E2F45" w:rsidP="000E2F45">
      <w:r>
        <w:t xml:space="preserve">Bureau of Economic Affairs </w:t>
      </w:r>
      <w:r w:rsidR="001C6A31">
        <w:t xml:space="preserve">(BEA) - for </w:t>
      </w:r>
      <w:r>
        <w:t>US</w:t>
      </w:r>
      <w:r w:rsidR="001C6A31">
        <w:t xml:space="preserve"> National Income and Product Accounts (NIPA)</w:t>
      </w:r>
      <w:r>
        <w:t xml:space="preserve"> </w:t>
      </w:r>
      <w:hyperlink r:id="rId6" w:history="1">
        <w:r w:rsidRPr="00FF2BBD">
          <w:rPr>
            <w:rStyle w:val="Hyperlink"/>
          </w:rPr>
          <w:t>https://www.bea.gov/</w:t>
        </w:r>
      </w:hyperlink>
      <w:r>
        <w:t xml:space="preserve"> </w:t>
      </w:r>
    </w:p>
    <w:p w14:paraId="04D0A6B3" w14:textId="3A2B4BAF" w:rsidR="000E2F45" w:rsidRDefault="000E2F45" w:rsidP="000E2F45">
      <w:r>
        <w:t xml:space="preserve">BEA Interactive tables </w:t>
      </w:r>
      <w:hyperlink r:id="rId7" w:anchor="reqid=19&amp;step=2&amp;isuri=1&amp;1921=survey" w:history="1">
        <w:r w:rsidRPr="00FF2BBD">
          <w:rPr>
            <w:rStyle w:val="Hyperlink"/>
          </w:rPr>
          <w:t>https://apps.bea.gov/iTable/iTable.cfm?reqid=19&amp;step=2#reqid=19&amp;step=2&amp;isuri=1&amp;1921=survey</w:t>
        </w:r>
      </w:hyperlink>
      <w:r>
        <w:t xml:space="preserve"> </w:t>
      </w:r>
    </w:p>
    <w:p w14:paraId="2A03569C" w14:textId="5A1C12E9" w:rsidR="00E67A67" w:rsidRPr="000E2F45" w:rsidRDefault="00E67A67" w:rsidP="000E2F45">
      <w:r>
        <w:t>Bureau of Labour Statistics (</w:t>
      </w:r>
      <w:r w:rsidR="001C6A31">
        <w:t xml:space="preserve">BLS) - </w:t>
      </w:r>
      <w:r>
        <w:t>for employment statistics</w:t>
      </w:r>
      <w:r w:rsidR="001C6A31">
        <w:t>:</w:t>
      </w:r>
      <w:r>
        <w:t xml:space="preserve"> </w:t>
      </w:r>
      <w:hyperlink r:id="rId8" w:history="1">
        <w:r w:rsidRPr="00E56974">
          <w:rPr>
            <w:rStyle w:val="Hyperlink"/>
          </w:rPr>
          <w:t>https://www.bls.gov/bls/employment.htm</w:t>
        </w:r>
      </w:hyperlink>
      <w:r>
        <w:t xml:space="preserve"> </w:t>
      </w:r>
    </w:p>
    <w:p w14:paraId="74D5B1A5" w14:textId="50E1AAEE" w:rsidR="000E2F45" w:rsidRDefault="000E2F45" w:rsidP="000E2F45">
      <w:r>
        <w:t xml:space="preserve">Penn World Tables: </w:t>
      </w:r>
      <w:hyperlink r:id="rId9" w:history="1">
        <w:r w:rsidRPr="00FF2BBD">
          <w:rPr>
            <w:rStyle w:val="Hyperlink"/>
          </w:rPr>
          <w:t>https://www.rug.nl/ggdc/productivity/pwt/?lang=en</w:t>
        </w:r>
      </w:hyperlink>
    </w:p>
    <w:p w14:paraId="74DAEC34" w14:textId="6CD642A2" w:rsidR="000E2F45" w:rsidRDefault="000E2F45" w:rsidP="000E2F45">
      <w:r>
        <w:t xml:space="preserve">National Bureau of Economic Research </w:t>
      </w:r>
      <w:r w:rsidR="00BB236F">
        <w:t xml:space="preserve">(NBER) </w:t>
      </w:r>
      <w:r>
        <w:t xml:space="preserve">(recessions and cycles) </w:t>
      </w:r>
      <w:hyperlink r:id="rId10" w:history="1">
        <w:r w:rsidRPr="00FF2BBD">
          <w:rPr>
            <w:rStyle w:val="Hyperlink"/>
          </w:rPr>
          <w:t>https://www.nber.org/</w:t>
        </w:r>
      </w:hyperlink>
      <w:r>
        <w:t xml:space="preserve"> </w:t>
      </w:r>
    </w:p>
    <w:p w14:paraId="270D7491" w14:textId="69125D02" w:rsidR="00BB236F" w:rsidRDefault="00BB236F" w:rsidP="000E2F45">
      <w:r>
        <w:t xml:space="preserve">NBER business cycle dating: </w:t>
      </w:r>
      <w:hyperlink r:id="rId11" w:history="1">
        <w:r w:rsidRPr="00FF2BBD">
          <w:rPr>
            <w:rStyle w:val="Hyperlink"/>
          </w:rPr>
          <w:t>https://www.nber.org/research/business-cycle-dating</w:t>
        </w:r>
      </w:hyperlink>
      <w:r>
        <w:t xml:space="preserve"> </w:t>
      </w:r>
    </w:p>
    <w:p w14:paraId="7FB9A00A" w14:textId="2FBCC268" w:rsidR="000E2F45" w:rsidRDefault="000E2F45" w:rsidP="000E2F45">
      <w:r>
        <w:t xml:space="preserve">International Monetary Fund (IMF) databases for the World Economic Outlook: </w:t>
      </w:r>
      <w:hyperlink r:id="rId12" w:anchor="sort=%40imfdate%20descending" w:history="1">
        <w:r w:rsidRPr="00FF2BBD">
          <w:rPr>
            <w:rStyle w:val="Hyperlink"/>
          </w:rPr>
          <w:t>https://www.imf.org/en/Publications/SPROLLS/world-economic-outlook-databases#sort=%40imfdate%20descending</w:t>
        </w:r>
      </w:hyperlink>
      <w:r>
        <w:t xml:space="preserve"> </w:t>
      </w:r>
    </w:p>
    <w:p w14:paraId="777AD889" w14:textId="54F80DA8" w:rsidR="000E2F45" w:rsidRDefault="000E2F45" w:rsidP="000E2F45">
      <w:r>
        <w:t>World Bank</w:t>
      </w:r>
      <w:r w:rsidR="009D0722">
        <w:t xml:space="preserve"> </w:t>
      </w:r>
      <w:hyperlink r:id="rId13" w:history="1">
        <w:r w:rsidR="009D0722" w:rsidRPr="00FF2BBD">
          <w:rPr>
            <w:rStyle w:val="Hyperlink"/>
          </w:rPr>
          <w:t>https://databank.worldbank.org/source/world-development-indicators</w:t>
        </w:r>
      </w:hyperlink>
      <w:r w:rsidR="009D0722">
        <w:t xml:space="preserve"> </w:t>
      </w:r>
    </w:p>
    <w:p w14:paraId="4B30B8D4" w14:textId="0B56173D" w:rsidR="009D0722" w:rsidRDefault="009D0722" w:rsidP="000E2F45">
      <w:r>
        <w:t xml:space="preserve">United Nations </w:t>
      </w:r>
      <w:hyperlink r:id="rId14" w:history="1">
        <w:r w:rsidRPr="00FF2BBD">
          <w:rPr>
            <w:rStyle w:val="Hyperlink"/>
          </w:rPr>
          <w:t>http://data.un.org/</w:t>
        </w:r>
      </w:hyperlink>
    </w:p>
    <w:p w14:paraId="22CB2C03" w14:textId="7ADD8110" w:rsidR="009D0722" w:rsidRPr="001C6A31" w:rsidRDefault="001C6A31" w:rsidP="000E2F45">
      <w:r w:rsidRPr="001C6A31">
        <w:t>United</w:t>
      </w:r>
      <w:r>
        <w:t xml:space="preserve"> Nations </w:t>
      </w:r>
      <w:r w:rsidR="00114329">
        <w:t>Conference on</w:t>
      </w:r>
      <w:r>
        <w:t xml:space="preserve"> Trade and Development (</w:t>
      </w:r>
      <w:r w:rsidR="009D0722" w:rsidRPr="001C6A31">
        <w:t>UNCTAD</w:t>
      </w:r>
      <w:r>
        <w:t>)</w:t>
      </w:r>
      <w:r w:rsidR="009D0722" w:rsidRPr="001C6A31">
        <w:t xml:space="preserve"> </w:t>
      </w:r>
      <w:hyperlink r:id="rId15" w:history="1">
        <w:r w:rsidR="009D0722" w:rsidRPr="001C6A31">
          <w:rPr>
            <w:rStyle w:val="Hyperlink"/>
          </w:rPr>
          <w:t>https://unctad.org/statistics</w:t>
        </w:r>
      </w:hyperlink>
      <w:r w:rsidR="009D0722" w:rsidRPr="001C6A31">
        <w:t xml:space="preserve"> </w:t>
      </w:r>
    </w:p>
    <w:p w14:paraId="4EE10298" w14:textId="345FB8FF" w:rsidR="009D0722" w:rsidRPr="001C6A31" w:rsidRDefault="001C6A31" w:rsidP="000E2F45">
      <w:r w:rsidRPr="001C6A31">
        <w:t>Organi</w:t>
      </w:r>
      <w:r>
        <w:t>zation for Economic Cooperation and Development (</w:t>
      </w:r>
      <w:r w:rsidR="009D0722" w:rsidRPr="001C6A31">
        <w:t>OECD</w:t>
      </w:r>
      <w:r>
        <w:t>)</w:t>
      </w:r>
      <w:r w:rsidR="009D0722" w:rsidRPr="001C6A31">
        <w:t xml:space="preserve"> </w:t>
      </w:r>
      <w:hyperlink r:id="rId16" w:history="1">
        <w:r w:rsidR="009D0722" w:rsidRPr="001C6A31">
          <w:rPr>
            <w:rStyle w:val="Hyperlink"/>
          </w:rPr>
          <w:t>https://data.oecd.org/</w:t>
        </w:r>
      </w:hyperlink>
      <w:r w:rsidR="009D0722" w:rsidRPr="001C6A31">
        <w:t xml:space="preserve"> </w:t>
      </w:r>
    </w:p>
    <w:p w14:paraId="52D9C3B1" w14:textId="75DC3F57" w:rsidR="00994B63" w:rsidRDefault="00994B63" w:rsidP="000E2F45">
      <w:r>
        <w:t xml:space="preserve">International Labour Organization (ILO) </w:t>
      </w:r>
      <w:hyperlink r:id="rId17" w:history="1">
        <w:r w:rsidR="00114329" w:rsidRPr="00E030F1">
          <w:rPr>
            <w:rStyle w:val="Hyperlink"/>
          </w:rPr>
          <w:t>https://ilostat.ilo.org/about/get-started/</w:t>
        </w:r>
      </w:hyperlink>
      <w:r w:rsidR="00114329">
        <w:t xml:space="preserve"> </w:t>
      </w:r>
    </w:p>
    <w:p w14:paraId="153DE8B2" w14:textId="427E1D8C" w:rsidR="00114329" w:rsidRDefault="00114329" w:rsidP="000E2F45">
      <w:r>
        <w:t xml:space="preserve">IMF World Economic Outlook reports: </w:t>
      </w:r>
      <w:hyperlink r:id="rId18" w:history="1">
        <w:r w:rsidRPr="00E030F1">
          <w:rPr>
            <w:rStyle w:val="Hyperlink"/>
          </w:rPr>
          <w:t>https://www.imf.org/en/Publications/WEO</w:t>
        </w:r>
      </w:hyperlink>
      <w:r>
        <w:t xml:space="preserve"> </w:t>
      </w:r>
    </w:p>
    <w:p w14:paraId="7B4069E9" w14:textId="3FC5D918" w:rsidR="004A3F27" w:rsidRPr="000E2F45" w:rsidRDefault="004A3F27" w:rsidP="000E2F45">
      <w:r>
        <w:t>Fed</w:t>
      </w:r>
    </w:p>
    <w:p w14:paraId="55BBC84F" w14:textId="2E54674F" w:rsidR="00920BC4" w:rsidRDefault="00A96CB6" w:rsidP="00920BC4">
      <w:pPr>
        <w:pStyle w:val="Heading2"/>
      </w:pPr>
      <w:r>
        <w:t>Critiques of GDP</w:t>
      </w:r>
    </w:p>
    <w:p w14:paraId="4A08113A" w14:textId="0DA786A2" w:rsidR="00A96CB6" w:rsidRPr="00A96CB6" w:rsidRDefault="00A96CB6" w:rsidP="00A96CB6">
      <w:pPr>
        <w:pStyle w:val="Heading3"/>
      </w:pPr>
      <w:r>
        <w:t>degrowth</w:t>
      </w:r>
    </w:p>
    <w:p w14:paraId="3AAE3AB0" w14:textId="34F9298D" w:rsidR="001A1A6B" w:rsidRDefault="001A1A6B" w:rsidP="001A1A6B">
      <w:pPr>
        <w:rPr>
          <w:rStyle w:val="a-size-extra-large"/>
        </w:rPr>
      </w:pPr>
      <w:r>
        <w:t xml:space="preserve">Liegey, V, and </w:t>
      </w:r>
      <w:r w:rsidRPr="006D0E87">
        <w:rPr>
          <w:rStyle w:val="a-declarative"/>
        </w:rPr>
        <w:t>Anitra Nelson</w:t>
      </w:r>
      <w:r>
        <w:rPr>
          <w:rStyle w:val="a-declarative"/>
        </w:rPr>
        <w:t xml:space="preserve">. 2020. </w:t>
      </w:r>
      <w:r>
        <w:rPr>
          <w:rStyle w:val="a-size-extra-large"/>
        </w:rPr>
        <w:t>Exploring Degrowth: A Critical Guide. London: Pluto Press</w:t>
      </w:r>
    </w:p>
    <w:p w14:paraId="688E3945" w14:textId="5E8BFB49" w:rsidR="00A96CB6" w:rsidRDefault="00A96CB6" w:rsidP="00A96CB6">
      <w:pPr>
        <w:pStyle w:val="Heading3"/>
      </w:pPr>
      <w:r>
        <w:t>Is GDP measured properly?</w:t>
      </w:r>
    </w:p>
    <w:p w14:paraId="78F01036" w14:textId="300AD683" w:rsidR="00697E0C" w:rsidRDefault="00697E0C" w:rsidP="00697E0C">
      <w:pPr>
        <w:pStyle w:val="referencetext"/>
      </w:pPr>
      <w:r w:rsidRPr="0061002E">
        <w:t xml:space="preserve">Assa, J. 2017. </w:t>
      </w:r>
      <w:r w:rsidRPr="0061002E">
        <w:rPr>
          <w:i/>
        </w:rPr>
        <w:t>The Financialization o</w:t>
      </w:r>
      <w:r>
        <w:rPr>
          <w:i/>
        </w:rPr>
        <w:t>f</w:t>
      </w:r>
      <w:r w:rsidRPr="0061002E">
        <w:rPr>
          <w:i/>
        </w:rPr>
        <w:t xml:space="preserve"> GDP: Implications for economic theory and policy. </w:t>
      </w:r>
      <w:r w:rsidRPr="0061002E">
        <w:t>London and New York: Routledge.</w:t>
      </w:r>
    </w:p>
    <w:p w14:paraId="2AD42247" w14:textId="4687722D" w:rsidR="00697E0C" w:rsidRPr="0061002E" w:rsidRDefault="00697E0C" w:rsidP="00697E0C">
      <w:pPr>
        <w:pStyle w:val="referencetext"/>
      </w:pPr>
      <w:r>
        <w:t xml:space="preserve">Lepenies, P. </w:t>
      </w:r>
      <w:r>
        <w:rPr>
          <w:i/>
          <w:iCs/>
        </w:rPr>
        <w:t xml:space="preserve">Why GDP? </w:t>
      </w:r>
      <w:hyperlink r:id="rId19" w:history="1">
        <w:r w:rsidRPr="00E030F1">
          <w:rPr>
            <w:rStyle w:val="Hyperlink"/>
          </w:rPr>
          <w:t>https://www.project-syndicate.org/commentary/why-gdp-by-philipp-lepenies-2016-08</w:t>
        </w:r>
      </w:hyperlink>
      <w:r>
        <w:t xml:space="preserve"> </w:t>
      </w:r>
    </w:p>
    <w:p w14:paraId="163DA5FA" w14:textId="4669EBF7" w:rsidR="00920BC4" w:rsidRPr="00920BC4" w:rsidRDefault="00920BC4" w:rsidP="00920BC4">
      <w:pPr>
        <w:pStyle w:val="Heading2"/>
      </w:pPr>
      <w:r w:rsidRPr="00920BC4">
        <w:t>On the 2008 crash</w:t>
      </w:r>
    </w:p>
    <w:p w14:paraId="7A8626A1" w14:textId="60171E83" w:rsidR="00DC7F3D" w:rsidRDefault="001A1A6B" w:rsidP="00DC7F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Independent Evaluation Office</w:t>
      </w:r>
      <w:r w:rsidR="001C6A31">
        <w:rPr>
          <w:rFonts w:ascii="Calibri" w:hAnsi="Calibri" w:cs="Calibri"/>
          <w:sz w:val="20"/>
          <w:szCs w:val="20"/>
        </w:rPr>
        <w:t xml:space="preserve"> (IEO)</w:t>
      </w:r>
      <w:r>
        <w:rPr>
          <w:rFonts w:ascii="Calibri" w:hAnsi="Calibri" w:cs="Calibri"/>
          <w:sz w:val="20"/>
          <w:szCs w:val="20"/>
        </w:rPr>
        <w:t xml:space="preserve"> of the International Monetary Fund</w:t>
      </w:r>
      <w:r w:rsidR="001C6A31">
        <w:rPr>
          <w:rFonts w:ascii="Calibri" w:hAnsi="Calibri" w:cs="Calibri"/>
          <w:sz w:val="20"/>
          <w:szCs w:val="20"/>
        </w:rPr>
        <w:t xml:space="preserve"> (IMF)</w:t>
      </w:r>
      <w:r>
        <w:rPr>
          <w:rFonts w:ascii="Calibri" w:hAnsi="Calibri" w:cs="Calibri"/>
          <w:sz w:val="20"/>
          <w:szCs w:val="20"/>
        </w:rPr>
        <w:t xml:space="preserve">: </w:t>
      </w:r>
      <w:hyperlink r:id="rId20" w:history="1">
        <w:r w:rsidR="008F2C5E" w:rsidRPr="00FF2BBD">
          <w:rPr>
            <w:rStyle w:val="Hyperlink"/>
            <w:rFonts w:ascii="Calibri" w:hAnsi="Calibri" w:cs="Calibri"/>
            <w:sz w:val="20"/>
            <w:szCs w:val="20"/>
          </w:rPr>
          <w:t>https://ieo.imf.org/</w:t>
        </w:r>
      </w:hyperlink>
      <w:r w:rsidR="008F2C5E">
        <w:rPr>
          <w:rFonts w:ascii="Calibri" w:hAnsi="Calibri" w:cs="Calibri"/>
          <w:sz w:val="20"/>
          <w:szCs w:val="20"/>
        </w:rPr>
        <w:t xml:space="preserve"> </w:t>
      </w:r>
    </w:p>
    <w:p w14:paraId="6A88AE65" w14:textId="77777777" w:rsidR="00602BAE" w:rsidRDefault="008F2C5E" w:rsidP="00DC7F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IEO evaluation of IMF performance in the runup to the 2008 crash: </w:t>
      </w:r>
    </w:p>
    <w:p w14:paraId="488331E4" w14:textId="3A1DC7CE" w:rsidR="00D30B6A" w:rsidRPr="00602BAE" w:rsidRDefault="00F52166" w:rsidP="00602BA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hyperlink r:id="rId21" w:history="1">
        <w:r w:rsidR="00602BAE" w:rsidRPr="00E030F1">
          <w:rPr>
            <w:rStyle w:val="Hyperlink"/>
            <w:rFonts w:ascii="Calibri" w:hAnsi="Calibri" w:cs="Calibri"/>
            <w:sz w:val="20"/>
            <w:szCs w:val="20"/>
          </w:rPr>
          <w:t>https://ieo.imf.org/-/media/IEO/Files/evaluations/completed/02-09-2011-imf-performance-in-the-run-up-to-the-financial-and-econom/crisis-main-report-without-moises-signature.ashx</w:t>
        </w:r>
      </w:hyperlink>
    </w:p>
    <w:p w14:paraId="71B493CE" w14:textId="3D8C5557" w:rsidR="00D30B6A" w:rsidRPr="00602BAE" w:rsidRDefault="00F52166" w:rsidP="00602BA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hyperlink r:id="rId22" w:history="1">
        <w:r w:rsidR="00D30B6A" w:rsidRPr="00602BAE">
          <w:rPr>
            <w:rStyle w:val="Hyperlink"/>
            <w:rFonts w:ascii="Calibri" w:hAnsi="Calibri" w:cs="Calibri"/>
            <w:sz w:val="20"/>
            <w:szCs w:val="20"/>
          </w:rPr>
          <w:t>https://ieo.imf.org/-/media/IEO/Files/evaluations/completed/02-09-2011-imf-performance-in-the-run-up-to-the-financial-and-econom/01102011crisis-bp4-us-bilateral-surveillance.ashx</w:t>
        </w:r>
      </w:hyperlink>
    </w:p>
    <w:p w14:paraId="2A52530F" w14:textId="77777777" w:rsidR="00F52166" w:rsidRPr="00F52166" w:rsidRDefault="00F52166" w:rsidP="00F52166">
      <w:hyperlink r:id="rId23" w:history="1">
        <w:r w:rsidRPr="00F52166">
          <w:rPr>
            <w:rStyle w:val="Hyperlink"/>
            <w:i/>
            <w:iCs/>
            <w:lang w:eastAsia="en-GB"/>
          </w:rPr>
          <w:t>https://www.brightonjones.com/blog/bull-market-investing-lessons/</w:t>
        </w:r>
      </w:hyperlink>
      <w:r w:rsidRPr="00F52166">
        <w:t xml:space="preserve"> </w:t>
      </w:r>
    </w:p>
    <w:p w14:paraId="1F8DA15B" w14:textId="2F46E703" w:rsidR="00253C2D" w:rsidRDefault="00253C2D" w:rsidP="00253C2D">
      <w:pPr>
        <w:pStyle w:val="ReferenceText0"/>
      </w:pPr>
      <w:r>
        <w:t xml:space="preserve">Pettifor, A. 2009. ‘I blame the Queen for this crisis’. </w:t>
      </w:r>
      <w:r>
        <w:rPr>
          <w:i/>
          <w:iCs/>
        </w:rPr>
        <w:t xml:space="preserve">The Guardian </w:t>
      </w:r>
      <w:r w:rsidRPr="00937CBF">
        <w:t>Feb</w:t>
      </w:r>
      <w:r>
        <w:t xml:space="preserve"> 26, 2009.</w:t>
      </w:r>
    </w:p>
    <w:p w14:paraId="15317E4D" w14:textId="71B8B638" w:rsidR="00F52166" w:rsidRPr="00F52166" w:rsidRDefault="00F52166" w:rsidP="00F52166">
      <w:pPr>
        <w:pStyle w:val="Heading2"/>
      </w:pPr>
      <w:r>
        <w:t>On inequality</w:t>
      </w:r>
    </w:p>
    <w:p w14:paraId="59E61F82" w14:textId="13B0478B" w:rsidR="00F52166" w:rsidRPr="00F52166" w:rsidRDefault="00F52166" w:rsidP="00F52166">
      <w:pPr>
        <w:pStyle w:val="ReferenceText0"/>
        <w:rPr>
          <w:i/>
          <w:iCs/>
          <w:lang w:val="en-CA"/>
        </w:rPr>
      </w:pPr>
      <w:hyperlink r:id="rId24" w:history="1">
        <w:r w:rsidRPr="00F52166">
          <w:rPr>
            <w:rStyle w:val="Hyperlink"/>
            <w:i/>
            <w:iCs/>
            <w:lang w:val="en-CA"/>
          </w:rPr>
          <w:t>https://www.resilience.org/stories/2019-03-20/global-inequality-do-we-really-live-in-a-one-hump-world/</w:t>
        </w:r>
      </w:hyperlink>
    </w:p>
    <w:p w14:paraId="2E9B0A95" w14:textId="33BF70C5" w:rsidR="00920BC4" w:rsidRDefault="00920BC4" w:rsidP="00920BC4">
      <w:pPr>
        <w:pStyle w:val="Heading2"/>
      </w:pPr>
      <w:r>
        <w:t>COVID data</w:t>
      </w:r>
    </w:p>
    <w:p w14:paraId="0784F284" w14:textId="08FB4456" w:rsidR="00DC7F3D" w:rsidRDefault="00F26AF1" w:rsidP="00DC7F3D">
      <w:r>
        <w:t xml:space="preserve">Our World In Data (OWID) – a go-to source for COVID data but which has much other material </w:t>
      </w:r>
      <w:hyperlink r:id="rId25" w:history="1">
        <w:r w:rsidRPr="00E56974">
          <w:rPr>
            <w:rStyle w:val="Hyperlink"/>
          </w:rPr>
          <w:t>https://ourworldindata.org/coronavirus-data</w:t>
        </w:r>
      </w:hyperlink>
    </w:p>
    <w:p w14:paraId="64887B02" w14:textId="42260773" w:rsidR="00DC7F3D" w:rsidRDefault="00F26AF1" w:rsidP="00DC7F3D">
      <w:r>
        <w:t xml:space="preserve">John Hopkins University </w:t>
      </w:r>
      <w:hyperlink r:id="rId26" w:history="1">
        <w:r w:rsidRPr="00E56974">
          <w:rPr>
            <w:rStyle w:val="Hyperlink"/>
          </w:rPr>
          <w:t>https://coronavirus.jhu.edu/map.html</w:t>
        </w:r>
      </w:hyperlink>
    </w:p>
    <w:p w14:paraId="36472F13" w14:textId="5E2EEE51" w:rsidR="000B7EF5" w:rsidRPr="00F52166" w:rsidRDefault="00194307" w:rsidP="00194307">
      <w:pPr>
        <w:pStyle w:val="Heading2"/>
      </w:pPr>
      <w:r w:rsidRPr="00F52166">
        <w:t>Excel</w:t>
      </w:r>
    </w:p>
    <w:p w14:paraId="314719A9" w14:textId="735D6FFD" w:rsidR="006A6363" w:rsidRPr="00F52166" w:rsidRDefault="00194307" w:rsidP="00194307">
      <w:r w:rsidRPr="00F52166">
        <w:t>Leila Gharani</w:t>
      </w:r>
      <w:r w:rsidR="006A6363" w:rsidRPr="00F52166">
        <w:t>’s courses</w:t>
      </w:r>
    </w:p>
    <w:p w14:paraId="5375A179" w14:textId="56A9A2C0" w:rsidR="00194307" w:rsidRPr="00F52166" w:rsidRDefault="00F52166" w:rsidP="006A6363">
      <w:pPr>
        <w:ind w:firstLine="720"/>
      </w:pPr>
      <w:hyperlink r:id="rId27" w:history="1">
        <w:r w:rsidR="006A6363" w:rsidRPr="00F52166">
          <w:rPr>
            <w:rStyle w:val="Hyperlink"/>
          </w:rPr>
          <w:t>https://www.youtube.com/c/Leilagharani</w:t>
        </w:r>
      </w:hyperlink>
    </w:p>
    <w:p w14:paraId="731E161B" w14:textId="5AFC6004" w:rsidR="00194307" w:rsidRPr="00F52166" w:rsidRDefault="006A6363" w:rsidP="00194307">
      <w:r w:rsidRPr="00F52166">
        <w:t>To install Power Pivot:</w:t>
      </w:r>
    </w:p>
    <w:p w14:paraId="445C1988" w14:textId="495183B7" w:rsidR="006A6363" w:rsidRPr="00F52166" w:rsidRDefault="00F52166" w:rsidP="006A6363">
      <w:pPr>
        <w:ind w:left="720"/>
      </w:pPr>
      <w:hyperlink r:id="rId28" w:history="1">
        <w:r w:rsidR="006A6363" w:rsidRPr="00F52166">
          <w:rPr>
            <w:rStyle w:val="Hyperlink"/>
          </w:rPr>
          <w:t>https://support.microsoft.com/en-us/office/start-the-power-pivot-add-in-for-excel-a891a66d-36e3-43fc-81e8-fc4798f39ea8</w:t>
        </w:r>
      </w:hyperlink>
    </w:p>
    <w:p w14:paraId="1EFC6C78" w14:textId="77777777" w:rsidR="006A6363" w:rsidRPr="00F52166" w:rsidRDefault="006A6363" w:rsidP="00194307"/>
    <w:sectPr w:rsidR="006A6363" w:rsidRPr="00F52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BD1"/>
    <w:multiLevelType w:val="hybridMultilevel"/>
    <w:tmpl w:val="10A296AC"/>
    <w:lvl w:ilvl="0" w:tplc="DED2AA0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178344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184EE26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78FCCCA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9FADD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0ADE477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44E1F3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632C32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34094F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18977FF4"/>
    <w:multiLevelType w:val="hybridMultilevel"/>
    <w:tmpl w:val="002035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C8"/>
    <w:rsid w:val="000244D4"/>
    <w:rsid w:val="000B7EF5"/>
    <w:rsid w:val="000E2F45"/>
    <w:rsid w:val="00114329"/>
    <w:rsid w:val="00194307"/>
    <w:rsid w:val="001A1A6B"/>
    <w:rsid w:val="001C6A31"/>
    <w:rsid w:val="00253C2D"/>
    <w:rsid w:val="003C00F0"/>
    <w:rsid w:val="004A3F27"/>
    <w:rsid w:val="00602BAE"/>
    <w:rsid w:val="00697E0C"/>
    <w:rsid w:val="006A6363"/>
    <w:rsid w:val="008F2C5E"/>
    <w:rsid w:val="00920BC4"/>
    <w:rsid w:val="00994B63"/>
    <w:rsid w:val="009D0722"/>
    <w:rsid w:val="00A96CB6"/>
    <w:rsid w:val="00B728C9"/>
    <w:rsid w:val="00BB236F"/>
    <w:rsid w:val="00CE5A66"/>
    <w:rsid w:val="00D30B6A"/>
    <w:rsid w:val="00DC7F3D"/>
    <w:rsid w:val="00E47CC8"/>
    <w:rsid w:val="00E67A67"/>
    <w:rsid w:val="00F15C08"/>
    <w:rsid w:val="00F26AF1"/>
    <w:rsid w:val="00F5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A05"/>
  <w15:chartTrackingRefBased/>
  <w15:docId w15:val="{C0727B54-B8E9-43AB-87F2-98F05D74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08"/>
    <w:rPr>
      <w:rFonts w:ascii="Baskerville Old Face" w:hAnsi="Baskerville Old Fac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C08"/>
    <w:pPr>
      <w:keepNext/>
      <w:keepLines/>
      <w:spacing w:before="240" w:after="0"/>
      <w:outlineLvl w:val="0"/>
    </w:pPr>
    <w:rPr>
      <w:rFonts w:ascii="Copperplate Gothic Bold" w:eastAsiaTheme="majorEastAsia" w:hAnsi="Copperplate Gothic Bold" w:cstheme="majorBidi"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C08"/>
    <w:pPr>
      <w:keepNext/>
      <w:keepLines/>
      <w:spacing w:before="40" w:after="0"/>
      <w:outlineLvl w:val="1"/>
    </w:pPr>
    <w:rPr>
      <w:rFonts w:ascii="Copperplate Gothic Bold" w:eastAsiaTheme="majorEastAsia" w:hAnsi="Copperplate Gothic Bold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CB6"/>
    <w:pPr>
      <w:keepNext/>
      <w:keepLines/>
      <w:spacing w:before="40" w:after="0"/>
      <w:outlineLvl w:val="2"/>
    </w:pPr>
    <w:rPr>
      <w:rFonts w:ascii="Copperplate Gothic Bold" w:eastAsiaTheme="majorEastAsia" w:hAnsi="Copperplate Gothic Bold" w:cstheme="majorBidi"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F3D"/>
    <w:rPr>
      <w:color w:val="0563C1" w:themeColor="hyperlink"/>
      <w:u w:val="single"/>
    </w:rPr>
  </w:style>
  <w:style w:type="character" w:customStyle="1" w:styleId="a-size-extra-large">
    <w:name w:val="a-size-extra-large"/>
    <w:basedOn w:val="DefaultParagraphFont"/>
    <w:rsid w:val="001A1A6B"/>
  </w:style>
  <w:style w:type="character" w:customStyle="1" w:styleId="a-declarative">
    <w:name w:val="a-declarative"/>
    <w:basedOn w:val="DefaultParagraphFont"/>
    <w:rsid w:val="001A1A6B"/>
  </w:style>
  <w:style w:type="character" w:styleId="UnresolvedMention">
    <w:name w:val="Unresolved Mention"/>
    <w:basedOn w:val="DefaultParagraphFont"/>
    <w:uiPriority w:val="99"/>
    <w:semiHidden/>
    <w:unhideWhenUsed/>
    <w:rsid w:val="001A1A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5C08"/>
    <w:rPr>
      <w:rFonts w:ascii="Copperplate Gothic Bold" w:eastAsiaTheme="majorEastAsia" w:hAnsi="Copperplate Gothic Bold" w:cstheme="majorBidi"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C08"/>
    <w:rPr>
      <w:rFonts w:ascii="Copperplate Gothic Bold" w:eastAsiaTheme="majorEastAsia" w:hAnsi="Copperplate Gothic Bold" w:cstheme="majorBidi"/>
      <w:sz w:val="26"/>
      <w:szCs w:val="26"/>
    </w:rPr>
  </w:style>
  <w:style w:type="paragraph" w:customStyle="1" w:styleId="CVText">
    <w:name w:val="CV Text"/>
    <w:basedOn w:val="BodyText"/>
    <w:qFormat/>
    <w:rsid w:val="00F15C08"/>
    <w:pPr>
      <w:keepLines/>
      <w:spacing w:after="60" w:line="276" w:lineRule="auto"/>
      <w:ind w:left="1004" w:hanging="720"/>
    </w:pPr>
    <w:rPr>
      <w:rFonts w:asciiTheme="minorHAnsi" w:eastAsiaTheme="minorEastAsia" w:hAnsiTheme="minorHAnsi"/>
      <w:sz w:val="24"/>
      <w:szCs w:val="20"/>
      <w:lang w:val="en-US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F15C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5C08"/>
  </w:style>
  <w:style w:type="paragraph" w:customStyle="1" w:styleId="NormalNospace">
    <w:name w:val="Normal Nospace"/>
    <w:basedOn w:val="Normal"/>
    <w:qFormat/>
    <w:rsid w:val="00F15C08"/>
    <w:pPr>
      <w:spacing w:after="0" w:line="240" w:lineRule="auto"/>
      <w:jc w:val="center"/>
    </w:pPr>
    <w:rPr>
      <w:noProof/>
    </w:rPr>
  </w:style>
  <w:style w:type="paragraph" w:customStyle="1" w:styleId="Notenospace">
    <w:name w:val="Note nospace"/>
    <w:basedOn w:val="Normal"/>
    <w:qFormat/>
    <w:rsid w:val="00F15C08"/>
    <w:pPr>
      <w:spacing w:line="240" w:lineRule="auto"/>
      <w:jc w:val="both"/>
    </w:pPr>
    <w:rPr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6CB6"/>
    <w:rPr>
      <w:rFonts w:ascii="Copperplate Gothic Bold" w:eastAsiaTheme="majorEastAsia" w:hAnsi="Copperplate Gothic Bold" w:cstheme="majorBidi"/>
      <w:i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C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link w:val="FootnoteTextChar"/>
    <w:qFormat/>
    <w:rsid w:val="00F15C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Baskerville Old Face" w:eastAsia="Calibri" w:hAnsi="Baskerville Old Face" w:cs="Calibri"/>
      <w:color w:val="000000"/>
      <w:sz w:val="20"/>
      <w:szCs w:val="20"/>
      <w:u w:color="000000"/>
      <w:bdr w:val="nil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rsid w:val="00F15C08"/>
    <w:rPr>
      <w:rFonts w:ascii="Baskerville Old Face" w:eastAsia="Calibri" w:hAnsi="Baskerville Old Face" w:cs="Calibri"/>
      <w:color w:val="000000"/>
      <w:sz w:val="20"/>
      <w:szCs w:val="20"/>
      <w:u w:color="000000"/>
      <w:bdr w:val="nil"/>
      <w:lang w:val="ru-RU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C08"/>
    <w:pPr>
      <w:keepNext/>
      <w:keepLines/>
      <w:spacing w:after="0" w:line="240" w:lineRule="auto"/>
    </w:pPr>
    <w:rPr>
      <w:b/>
      <w:iCs/>
      <w:smallCaps/>
      <w:color w:val="44546A" w:themeColor="text2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F15C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15C08"/>
    <w:rPr>
      <w:rFonts w:ascii="Baskerville Old Face" w:hAnsi="Baskerville Old Face"/>
    </w:rPr>
  </w:style>
  <w:style w:type="paragraph" w:styleId="ListParagraph">
    <w:name w:val="List Paragraph"/>
    <w:basedOn w:val="Normal"/>
    <w:uiPriority w:val="34"/>
    <w:qFormat/>
    <w:rsid w:val="00F15C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5C08"/>
    <w:pPr>
      <w:spacing w:before="120" w:after="120"/>
      <w:ind w:left="567" w:right="567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C08"/>
    <w:rPr>
      <w:rFonts w:ascii="Baskerville Old Face" w:hAnsi="Baskerville Old Face"/>
      <w:i/>
      <w:iCs/>
      <w:color w:val="404040" w:themeColor="text1" w:themeTint="BF"/>
    </w:rPr>
  </w:style>
  <w:style w:type="paragraph" w:customStyle="1" w:styleId="referencetext">
    <w:name w:val="reference text"/>
    <w:basedOn w:val="FootnoteText"/>
    <w:rsid w:val="00697E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ind w:left="284" w:hanging="284"/>
    </w:pPr>
    <w:rPr>
      <w:rFonts w:ascii="Times New Roman" w:eastAsia="Times New Roman" w:hAnsi="Times New Roman" w:cs="Times New Roman"/>
      <w:bCs/>
      <w:color w:val="auto"/>
      <w:sz w:val="22"/>
      <w:bdr w:val="none" w:sz="0" w:space="0" w:color="auto"/>
      <w:lang w:val="en-US" w:eastAsia="en-US"/>
    </w:rPr>
  </w:style>
  <w:style w:type="paragraph" w:customStyle="1" w:styleId="ReferenceText0">
    <w:name w:val="Reference Text"/>
    <w:basedOn w:val="Normal"/>
    <w:qFormat/>
    <w:rsid w:val="00253C2D"/>
    <w:pPr>
      <w:ind w:left="720" w:hanging="720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4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bls/employment.htm" TargetMode="External"/><Relationship Id="rId13" Type="http://schemas.openxmlformats.org/officeDocument/2006/relationships/hyperlink" Target="https://databank.worldbank.org/source/world-development-indicators" TargetMode="External"/><Relationship Id="rId18" Type="http://schemas.openxmlformats.org/officeDocument/2006/relationships/hyperlink" Target="https://www.imf.org/en/Publications/WEO" TargetMode="External"/><Relationship Id="rId26" Type="http://schemas.openxmlformats.org/officeDocument/2006/relationships/hyperlink" Target="https://coronavirus.jhu.edu/ma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o.imf.org/-/media/IEO/Files/evaluations/completed/02-09-2011-imf-performance-in-the-run-up-to-the-financial-and-econom/crisis-main-report-without-moises-signature.ashx" TargetMode="External"/><Relationship Id="rId7" Type="http://schemas.openxmlformats.org/officeDocument/2006/relationships/hyperlink" Target="https://apps.bea.gov/iTable/iTable.cfm?reqid=19&amp;step=2" TargetMode="External"/><Relationship Id="rId12" Type="http://schemas.openxmlformats.org/officeDocument/2006/relationships/hyperlink" Target="https://www.imf.org/en/Publications/SPROLLS/world-economic-outlook-databases" TargetMode="External"/><Relationship Id="rId17" Type="http://schemas.openxmlformats.org/officeDocument/2006/relationships/hyperlink" Target="https://ilostat.ilo.org/about/get-started/" TargetMode="External"/><Relationship Id="rId25" Type="http://schemas.openxmlformats.org/officeDocument/2006/relationships/hyperlink" Target="https://ourworldindata.org/coronavirus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oecd.org/" TargetMode="External"/><Relationship Id="rId20" Type="http://schemas.openxmlformats.org/officeDocument/2006/relationships/hyperlink" Target="https://ieo.imf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ea.gov/" TargetMode="External"/><Relationship Id="rId11" Type="http://schemas.openxmlformats.org/officeDocument/2006/relationships/hyperlink" Target="https://www.nber.org/research/business-cycle-dating" TargetMode="External"/><Relationship Id="rId24" Type="http://schemas.openxmlformats.org/officeDocument/2006/relationships/hyperlink" Target="https://www.resilience.org/stories/2019-03-20/global-inequality-do-we-really-live-in-a-one-hump-world/" TargetMode="External"/><Relationship Id="rId5" Type="http://schemas.openxmlformats.org/officeDocument/2006/relationships/hyperlink" Target="https://github.com/axfreeman/Using-Economic-Data/tree/main/Resources" TargetMode="External"/><Relationship Id="rId15" Type="http://schemas.openxmlformats.org/officeDocument/2006/relationships/hyperlink" Target="https://unctad.org/statistics" TargetMode="External"/><Relationship Id="rId23" Type="http://schemas.openxmlformats.org/officeDocument/2006/relationships/hyperlink" Target="https://www.brightonjones.com/blog/bull-market-investing-lessons/" TargetMode="External"/><Relationship Id="rId28" Type="http://schemas.openxmlformats.org/officeDocument/2006/relationships/hyperlink" Target="https://support.microsoft.com/en-us/office/start-the-power-pivot-add-in-for-excel-a891a66d-36e3-43fc-81e8-fc4798f39ea8" TargetMode="External"/><Relationship Id="rId10" Type="http://schemas.openxmlformats.org/officeDocument/2006/relationships/hyperlink" Target="https://www.nber.org/" TargetMode="External"/><Relationship Id="rId19" Type="http://schemas.openxmlformats.org/officeDocument/2006/relationships/hyperlink" Target="https://www.project-syndicate.org/commentary/why-gdp-by-philipp-lepenies-2016-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g.nl/ggdc/productivity/pwt/?lang=en" TargetMode="External"/><Relationship Id="rId14" Type="http://schemas.openxmlformats.org/officeDocument/2006/relationships/hyperlink" Target="http://data.un.org/" TargetMode="External"/><Relationship Id="rId22" Type="http://schemas.openxmlformats.org/officeDocument/2006/relationships/hyperlink" Target="https://ieo.imf.org/-/media/IEO/Files/evaluations/completed/02-09-2011-imf-performance-in-the-run-up-to-the-financial-and-econom/01102011crisis-bp4-us-bilateral-surveillance.ashx" TargetMode="External"/><Relationship Id="rId27" Type="http://schemas.openxmlformats.org/officeDocument/2006/relationships/hyperlink" Target="https://www.youtube.com/c/Leilagharan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23</cp:revision>
  <dcterms:created xsi:type="dcterms:W3CDTF">2021-12-11T10:55:00Z</dcterms:created>
  <dcterms:modified xsi:type="dcterms:W3CDTF">2021-12-16T21:46:00Z</dcterms:modified>
</cp:coreProperties>
</file>