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121" w:rsidRDefault="005D5121" w:rsidP="005D5121">
      <w:pPr>
        <w:pStyle w:val="2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  <w:highlight w:val="yellow"/>
          <w:lang w:eastAsia="zh-Hans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小颗粒承载技术</w:t>
      </w:r>
    </w:p>
    <w:p w:rsidR="0092347C" w:rsidRDefault="008E10B4" w:rsidP="00E31BA4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t>电力典型业务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场景</w:t>
      </w:r>
      <w:r>
        <w:rPr>
          <w:rFonts w:ascii="仿宋" w:eastAsia="仿宋" w:hAnsi="仿宋" w:hint="eastAsia"/>
          <w:sz w:val="28"/>
          <w:szCs w:val="28"/>
          <w:lang w:eastAsia="zh-Hans"/>
        </w:rPr>
        <w:t>中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逐渐显现出100M以下小带</w:t>
      </w:r>
      <w:r w:rsidR="00E31BA4" w:rsidRPr="00250E55">
        <w:rPr>
          <w:rFonts w:ascii="仿宋" w:eastAsia="仿宋" w:hAnsi="仿宋" w:hint="eastAsia"/>
          <w:sz w:val="28"/>
          <w:szCs w:val="28"/>
          <w:lang w:eastAsia="zh-Hans"/>
        </w:rPr>
        <w:t>宽、确定性低时延、高可靠性、高安全隔离等方面的特点，其中控制类业务呈现出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10Mbps级小颗粒硬管道隔</w:t>
      </w:r>
      <w:r w:rsidR="00E31BA4" w:rsidRPr="00250E55">
        <w:rPr>
          <w:rFonts w:ascii="仿宋" w:eastAsia="仿宋" w:hAnsi="仿宋" w:hint="eastAsia"/>
          <w:sz w:val="28"/>
          <w:szCs w:val="28"/>
          <w:lang w:eastAsia="zh-Hans"/>
        </w:rPr>
        <w:t>离和确定性低时延的承载需求。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小颗粒技术</w:t>
      </w:r>
      <w:r w:rsidR="00CD7796">
        <w:rPr>
          <w:rFonts w:ascii="仿宋" w:eastAsia="仿宋" w:hAnsi="仿宋" w:hint="eastAsia"/>
          <w:sz w:val="28"/>
          <w:szCs w:val="28"/>
          <w:lang w:eastAsia="zh-Hans"/>
        </w:rPr>
        <w:t>需要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聚焦构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建端到端高效、无损、柔性带宽、灵活可靠的通道和承载方式，将硬切片的颗粒度从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5Gbps细化为10Mbps，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以满足</w:t>
      </w:r>
      <w:r>
        <w:rPr>
          <w:rFonts w:ascii="仿宋" w:eastAsia="仿宋" w:hAnsi="仿宋" w:hint="eastAsia"/>
          <w:sz w:val="28"/>
          <w:szCs w:val="28"/>
          <w:lang w:eastAsia="zh-Hans"/>
        </w:rPr>
        <w:t>电力典型业务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场景中小带宽、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高隔离性、高安全性等差异化业务承载需求。</w:t>
      </w:r>
      <w:r w:rsidR="00B40D12">
        <w:rPr>
          <w:rFonts w:ascii="仿宋" w:eastAsia="仿宋" w:hAnsi="仿宋" w:hint="eastAsia"/>
          <w:sz w:val="28"/>
          <w:szCs w:val="28"/>
          <w:lang w:eastAsia="zh-Hans"/>
        </w:rPr>
        <w:t>同时，</w:t>
      </w:r>
      <w:r w:rsidR="000A514E">
        <w:rPr>
          <w:rFonts w:ascii="仿宋" w:eastAsia="仿宋" w:hAnsi="仿宋" w:hint="eastAsia"/>
          <w:sz w:val="28"/>
          <w:szCs w:val="28"/>
          <w:lang w:eastAsia="zh-Hans"/>
        </w:rPr>
        <w:t>小颗粒技术需要新增小颗粒</w:t>
      </w:r>
      <w:r w:rsidR="009440C8">
        <w:rPr>
          <w:rFonts w:ascii="仿宋" w:eastAsia="仿宋" w:hAnsi="仿宋" w:hint="eastAsia"/>
          <w:sz w:val="28"/>
          <w:szCs w:val="28"/>
          <w:lang w:eastAsia="zh-Hans"/>
        </w:rPr>
        <w:t>固定比特速率</w:t>
      </w:r>
      <w:r w:rsidR="009440C8">
        <w:rPr>
          <w:rFonts w:ascii="仿宋" w:eastAsia="仿宋" w:hAnsi="仿宋" w:hint="eastAsia"/>
          <w:sz w:val="28"/>
          <w:szCs w:val="28"/>
        </w:rPr>
        <w:t>（CBR，</w:t>
      </w:r>
      <w:r w:rsidR="009440C8" w:rsidRPr="009440C8">
        <w:rPr>
          <w:rFonts w:ascii="仿宋" w:eastAsia="仿宋" w:hAnsi="仿宋"/>
          <w:sz w:val="28"/>
          <w:szCs w:val="28"/>
        </w:rPr>
        <w:t xml:space="preserve">Constant </w:t>
      </w:r>
      <w:r w:rsidR="009440C8">
        <w:rPr>
          <w:rFonts w:ascii="仿宋" w:eastAsia="仿宋" w:hAnsi="仿宋" w:hint="eastAsia"/>
          <w:sz w:val="28"/>
          <w:szCs w:val="28"/>
        </w:rPr>
        <w:t>B</w:t>
      </w:r>
      <w:r w:rsidR="009440C8" w:rsidRPr="009440C8">
        <w:rPr>
          <w:rFonts w:ascii="仿宋" w:eastAsia="仿宋" w:hAnsi="仿宋"/>
          <w:sz w:val="28"/>
          <w:szCs w:val="28"/>
        </w:rPr>
        <w:t xml:space="preserve">it </w:t>
      </w:r>
      <w:r w:rsidR="009440C8">
        <w:rPr>
          <w:rFonts w:ascii="仿宋" w:eastAsia="仿宋" w:hAnsi="仿宋" w:hint="eastAsia"/>
          <w:sz w:val="28"/>
          <w:szCs w:val="28"/>
        </w:rPr>
        <w:t>R</w:t>
      </w:r>
      <w:r w:rsidR="009440C8" w:rsidRPr="009440C8">
        <w:rPr>
          <w:rFonts w:ascii="仿宋" w:eastAsia="仿宋" w:hAnsi="仿宋"/>
          <w:sz w:val="28"/>
          <w:szCs w:val="28"/>
        </w:rPr>
        <w:t>ate</w:t>
      </w:r>
      <w:r w:rsidR="009440C8">
        <w:rPr>
          <w:rFonts w:ascii="仿宋" w:eastAsia="仿宋" w:hAnsi="仿宋" w:hint="eastAsia"/>
          <w:sz w:val="28"/>
          <w:szCs w:val="28"/>
        </w:rPr>
        <w:t>）</w:t>
      </w:r>
      <w:r w:rsidR="000A514E">
        <w:rPr>
          <w:rFonts w:ascii="仿宋" w:eastAsia="仿宋" w:hAnsi="仿宋" w:hint="eastAsia"/>
          <w:sz w:val="28"/>
          <w:szCs w:val="28"/>
          <w:lang w:eastAsia="zh-Hans"/>
        </w:rPr>
        <w:t>业务类型</w:t>
      </w:r>
      <w:r w:rsidR="009440C8">
        <w:rPr>
          <w:rFonts w:ascii="仿宋" w:eastAsia="仿宋" w:hAnsi="仿宋" w:hint="eastAsia"/>
          <w:sz w:val="28"/>
          <w:szCs w:val="28"/>
          <w:lang w:eastAsia="zh-Hans"/>
        </w:rPr>
        <w:t>，并针对改业务提出合适的业务映射和承载技术方案。</w:t>
      </w:r>
    </w:p>
    <w:p w:rsidR="00BB39CD" w:rsidRDefault="009D4B5B" w:rsidP="00745245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 w:rsidRPr="009D4B5B">
        <w:rPr>
          <w:rFonts w:ascii="仿宋" w:eastAsia="仿宋" w:hAnsi="仿宋"/>
          <w:sz w:val="28"/>
          <w:szCs w:val="28"/>
          <w:lang w:eastAsia="zh-Hans"/>
        </w:rPr>
        <w:t>SPN小颗粒技术继承了SPN的高效以太网内核，通过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层次化设计，将细粒度切片技术融入</w:t>
      </w:r>
      <w:r w:rsidRPr="009D4B5B">
        <w:rPr>
          <w:rFonts w:ascii="仿宋" w:eastAsia="仿宋" w:hAnsi="仿宋"/>
          <w:sz w:val="28"/>
          <w:szCs w:val="28"/>
          <w:lang w:eastAsia="zh-Hans"/>
        </w:rPr>
        <w:t>SPN整体架构，提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供了低成本、精细化、硬隔离的小颗粒承载管道。结合</w:t>
      </w:r>
      <w:r w:rsidRPr="009D4B5B">
        <w:rPr>
          <w:rFonts w:ascii="仿宋" w:eastAsia="仿宋" w:hAnsi="仿宋"/>
          <w:sz w:val="28"/>
          <w:szCs w:val="28"/>
          <w:lang w:eastAsia="zh-Hans"/>
        </w:rPr>
        <w:t>SDN集中管控，从而实现开放、敏捷、精细化的网络运营。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小颗粒技术的</w:t>
      </w:r>
      <w:r w:rsidRPr="009D4B5B">
        <w:rPr>
          <w:rFonts w:ascii="仿宋" w:eastAsia="仿宋" w:hAnsi="仿宋"/>
          <w:sz w:val="28"/>
          <w:szCs w:val="28"/>
          <w:lang w:eastAsia="zh-Hans"/>
        </w:rPr>
        <w:t>架构如图</w:t>
      </w:r>
      <w:r w:rsidR="00745245">
        <w:rPr>
          <w:rFonts w:ascii="仿宋" w:eastAsia="仿宋" w:hAnsi="仿宋" w:hint="eastAsia"/>
          <w:sz w:val="28"/>
          <w:szCs w:val="28"/>
        </w:rPr>
        <w:t>*</w:t>
      </w:r>
      <w:r w:rsidRPr="009D4B5B">
        <w:rPr>
          <w:rFonts w:ascii="仿宋" w:eastAsia="仿宋" w:hAnsi="仿宋"/>
          <w:sz w:val="28"/>
          <w:szCs w:val="28"/>
          <w:lang w:eastAsia="zh-Hans"/>
        </w:rPr>
        <w:t>所示，包括分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组</w:t>
      </w:r>
      <w:r w:rsidR="005A4BE3">
        <w:rPr>
          <w:rFonts w:ascii="仿宋" w:eastAsia="仿宋" w:hAnsi="仿宋" w:hint="eastAsia"/>
          <w:sz w:val="28"/>
          <w:szCs w:val="28"/>
          <w:lang w:eastAsia="zh-Hans"/>
        </w:rPr>
        <w:t>切片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层</w:t>
      </w:r>
      <w:r w:rsidRPr="009D4B5B">
        <w:rPr>
          <w:rFonts w:ascii="仿宋" w:eastAsia="仿宋" w:hAnsi="仿宋"/>
          <w:sz w:val="28"/>
          <w:szCs w:val="28"/>
          <w:lang w:eastAsia="zh-Hans"/>
        </w:rPr>
        <w:t>、</w:t>
      </w:r>
      <w:r w:rsidR="005A4BE3">
        <w:rPr>
          <w:rFonts w:ascii="仿宋" w:eastAsia="仿宋" w:hAnsi="仿宋" w:hint="eastAsia"/>
          <w:sz w:val="28"/>
          <w:szCs w:val="28"/>
        </w:rPr>
        <w:t>FlexE</w:t>
      </w:r>
      <w:r w:rsidR="005A4BE3">
        <w:rPr>
          <w:rFonts w:ascii="仿宋" w:eastAsia="仿宋" w:hAnsi="仿宋" w:hint="eastAsia"/>
          <w:sz w:val="28"/>
          <w:szCs w:val="28"/>
          <w:lang w:eastAsia="zh-Hans"/>
        </w:rPr>
        <w:t>切片</w:t>
      </w:r>
      <w:r w:rsidRPr="009D4B5B">
        <w:rPr>
          <w:rFonts w:ascii="仿宋" w:eastAsia="仿宋" w:hAnsi="仿宋"/>
          <w:sz w:val="28"/>
          <w:szCs w:val="28"/>
          <w:lang w:eastAsia="zh-Hans"/>
        </w:rPr>
        <w:t>层、</w:t>
      </w:r>
      <w:r w:rsidR="005A4BE3">
        <w:rPr>
          <w:rFonts w:ascii="仿宋" w:eastAsia="仿宋" w:hAnsi="仿宋" w:hint="eastAsia"/>
          <w:sz w:val="28"/>
          <w:szCs w:val="28"/>
          <w:lang w:eastAsia="zh-Hans"/>
        </w:rPr>
        <w:t>物理传输</w:t>
      </w:r>
      <w:r w:rsidRPr="009D4B5B">
        <w:rPr>
          <w:rFonts w:ascii="仿宋" w:eastAsia="仿宋" w:hAnsi="仿宋"/>
          <w:sz w:val="28"/>
          <w:szCs w:val="28"/>
          <w:lang w:eastAsia="zh-Hans"/>
        </w:rPr>
        <w:t>层，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以及</w:t>
      </w:r>
      <w:r w:rsidRPr="009D4B5B">
        <w:rPr>
          <w:rFonts w:ascii="仿宋" w:eastAsia="仿宋" w:hAnsi="仿宋"/>
          <w:sz w:val="28"/>
          <w:szCs w:val="28"/>
          <w:lang w:eastAsia="zh-Hans"/>
        </w:rPr>
        <w:t>时间</w:t>
      </w:r>
      <w:r w:rsidR="005A4BE3">
        <w:rPr>
          <w:rFonts w:ascii="仿宋" w:eastAsia="仿宋" w:hAnsi="仿宋" w:hint="eastAsia"/>
          <w:sz w:val="28"/>
          <w:szCs w:val="28"/>
          <w:lang w:eastAsia="zh-Hans"/>
        </w:rPr>
        <w:t>/时钟</w:t>
      </w:r>
      <w:r w:rsidRPr="009D4B5B">
        <w:rPr>
          <w:rFonts w:ascii="仿宋" w:eastAsia="仿宋" w:hAnsi="仿宋"/>
          <w:sz w:val="28"/>
          <w:szCs w:val="28"/>
          <w:lang w:eastAsia="zh-Hans"/>
        </w:rPr>
        <w:t>同步模块和</w:t>
      </w:r>
      <w:r w:rsidR="005A4BE3">
        <w:rPr>
          <w:rFonts w:ascii="仿宋" w:eastAsia="仿宋" w:hAnsi="仿宋" w:hint="eastAsia"/>
          <w:sz w:val="28"/>
          <w:szCs w:val="28"/>
          <w:lang w:eastAsia="zh-Hans"/>
        </w:rPr>
        <w:t>管理/控制</w:t>
      </w:r>
      <w:r w:rsidRPr="009D4B5B">
        <w:rPr>
          <w:rFonts w:ascii="仿宋" w:eastAsia="仿宋" w:hAnsi="仿宋"/>
          <w:sz w:val="28"/>
          <w:szCs w:val="28"/>
          <w:lang w:eastAsia="zh-Hans"/>
        </w:rPr>
        <w:t>模块。</w:t>
      </w:r>
    </w:p>
    <w:p w:rsidR="00745245" w:rsidRDefault="00745245" w:rsidP="00745245">
      <w:pPr>
        <w:pStyle w:val="2"/>
        <w:spacing w:line="360" w:lineRule="auto"/>
        <w:ind w:firstLineChars="0" w:firstLine="0"/>
        <w:jc w:val="center"/>
        <w:rPr>
          <w:rFonts w:ascii="仿宋" w:eastAsia="仿宋" w:hAnsi="仿宋"/>
          <w:sz w:val="28"/>
          <w:szCs w:val="28"/>
          <w:lang w:eastAsia="zh-Hans"/>
        </w:rPr>
      </w:pPr>
      <w:r>
        <w:rPr>
          <w:noProof/>
        </w:rPr>
        <w:drawing>
          <wp:inline distT="0" distB="0" distL="0" distR="0" wp14:anchorId="7D97D2DD" wp14:editId="4481608C">
            <wp:extent cx="4239491" cy="2319827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312" cy="23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45" w:rsidRDefault="005A4BE3" w:rsidP="00745245">
      <w:pPr>
        <w:pStyle w:val="2"/>
        <w:spacing w:line="360" w:lineRule="auto"/>
        <w:ind w:firstLineChars="0" w:firstLine="0"/>
        <w:jc w:val="center"/>
        <w:rPr>
          <w:rFonts w:ascii="仿宋" w:eastAsia="仿宋" w:hAnsi="仿宋" w:hint="eastAsia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lastRenderedPageBreak/>
        <w:t>图</w:t>
      </w:r>
      <w:r>
        <w:rPr>
          <w:rFonts w:ascii="仿宋" w:eastAsia="仿宋" w:hAnsi="仿宋" w:hint="eastAsia"/>
          <w:sz w:val="28"/>
          <w:szCs w:val="28"/>
        </w:rPr>
        <w:t>*</w:t>
      </w:r>
      <w:r>
        <w:rPr>
          <w:rFonts w:ascii="仿宋" w:eastAsia="仿宋" w:hAnsi="仿宋" w:hint="eastAsia"/>
          <w:sz w:val="28"/>
          <w:szCs w:val="28"/>
          <w:lang w:eastAsia="zh-Hans"/>
        </w:rPr>
        <w:t>小颗粒技术架构图</w:t>
      </w:r>
      <w:bookmarkStart w:id="0" w:name="_GoBack"/>
      <w:bookmarkEnd w:id="0"/>
    </w:p>
    <w:p w:rsidR="00530376" w:rsidRPr="00530376" w:rsidRDefault="005A4BE3" w:rsidP="00745245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 w:rsidRPr="009D4B5B">
        <w:rPr>
          <w:rFonts w:ascii="仿宋" w:eastAsia="仿宋" w:hAnsi="仿宋"/>
          <w:sz w:val="28"/>
          <w:szCs w:val="28"/>
          <w:lang w:eastAsia="zh-Hans"/>
        </w:rPr>
        <w:t>分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组</w:t>
      </w:r>
      <w:r>
        <w:rPr>
          <w:rFonts w:ascii="仿宋" w:eastAsia="仿宋" w:hAnsi="仿宋" w:hint="eastAsia"/>
          <w:sz w:val="28"/>
          <w:szCs w:val="28"/>
          <w:lang w:eastAsia="zh-Hans"/>
        </w:rPr>
        <w:t>切片</w:t>
      </w:r>
      <w:r w:rsidRPr="009D4B5B">
        <w:rPr>
          <w:rFonts w:ascii="仿宋" w:eastAsia="仿宋" w:hAnsi="仿宋" w:hint="eastAsia"/>
          <w:sz w:val="28"/>
          <w:szCs w:val="28"/>
          <w:lang w:eastAsia="zh-Hans"/>
        </w:rPr>
        <w:t>层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：新增小颗粒CBR业务类型。</w:t>
      </w:r>
      <w:r w:rsidR="008A0BBC" w:rsidRPr="008A0BBC">
        <w:rPr>
          <w:rFonts w:ascii="仿宋" w:eastAsia="仿宋" w:hAnsi="仿宋"/>
          <w:sz w:val="28"/>
          <w:szCs w:val="28"/>
          <w:lang w:eastAsia="zh-Hans"/>
        </w:rPr>
        <w:t>CBR业务属于实时性业务，保证该业务在源和终端的同步关系是正确传送用户业务的基础，因此，对CBR业务提供支持的网络必须对源定时进行恢复</w:t>
      </w:r>
      <w:r w:rsidR="00BE2A9C">
        <w:rPr>
          <w:rFonts w:ascii="仿宋" w:eastAsia="仿宋" w:hAnsi="仿宋" w:hint="eastAsia"/>
          <w:sz w:val="28"/>
          <w:szCs w:val="28"/>
          <w:lang w:eastAsia="zh-Hans"/>
        </w:rPr>
        <w:t>。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SPL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层提供基于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IP/MPLS/SR/802.1Q/物理端口等多种寻址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机制按需灵活组合，完成小颗粒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CBR业务映射。原有IP、以太类业务的寻址转发和管道承载封装方式不改变。</w:t>
      </w:r>
    </w:p>
    <w:p w:rsidR="00530376" w:rsidRPr="00530376" w:rsidRDefault="005A4BE3" w:rsidP="00745245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</w:rPr>
        <w:t>FlexE</w:t>
      </w:r>
      <w:r>
        <w:rPr>
          <w:rFonts w:ascii="仿宋" w:eastAsia="仿宋" w:hAnsi="仿宋" w:hint="eastAsia"/>
          <w:sz w:val="28"/>
          <w:szCs w:val="28"/>
          <w:lang w:eastAsia="zh-Hans"/>
        </w:rPr>
        <w:t>切片</w:t>
      </w:r>
      <w:r w:rsidRPr="009D4B5B">
        <w:rPr>
          <w:rFonts w:ascii="仿宋" w:eastAsia="仿宋" w:hAnsi="仿宋"/>
          <w:sz w:val="28"/>
          <w:szCs w:val="28"/>
          <w:lang w:eastAsia="zh-Hans"/>
        </w:rPr>
        <w:t>层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：新增FGU层，为小颗粒业务提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供端到端的确定性低时延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N×10Mbps粒度硬切片通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道。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FGU层是独立子层，与服务层解耦，可按需灵活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选择承载于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MTN通道层或以太网物理层。当FGU层</w:t>
      </w:r>
      <w:r w:rsidR="00530376" w:rsidRPr="00530376">
        <w:rPr>
          <w:rFonts w:ascii="仿宋" w:eastAsia="仿宋" w:hAnsi="仿宋" w:hint="eastAsia"/>
          <w:sz w:val="28"/>
          <w:szCs w:val="28"/>
          <w:lang w:eastAsia="zh-Hans"/>
        </w:rPr>
        <w:t>承载于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MTN通道层时，FGU前向兼容现有SPN设备，</w:t>
      </w:r>
    </w:p>
    <w:p w:rsidR="00530376" w:rsidRPr="00530376" w:rsidRDefault="00530376" w:rsidP="00745245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 w:rsidRPr="00530376">
        <w:rPr>
          <w:rFonts w:ascii="仿宋" w:eastAsia="仿宋" w:hAnsi="仿宋" w:hint="eastAsia"/>
          <w:sz w:val="28"/>
          <w:szCs w:val="28"/>
          <w:lang w:eastAsia="zh-Hans"/>
        </w:rPr>
        <w:t>继承</w:t>
      </w:r>
      <w:r w:rsidRPr="00530376">
        <w:rPr>
          <w:rFonts w:ascii="仿宋" w:eastAsia="仿宋" w:hAnsi="仿宋"/>
          <w:sz w:val="28"/>
          <w:szCs w:val="28"/>
          <w:lang w:eastAsia="zh-Hans"/>
        </w:rPr>
        <w:t>SPN技术的优势，提供低成本、精细化、硬隔</w:t>
      </w:r>
      <w:r w:rsidRPr="00530376">
        <w:rPr>
          <w:rFonts w:ascii="仿宋" w:eastAsia="仿宋" w:hAnsi="仿宋" w:hint="eastAsia"/>
          <w:sz w:val="28"/>
          <w:szCs w:val="28"/>
          <w:lang w:eastAsia="zh-Hans"/>
        </w:rPr>
        <w:t>离的承载管道；当</w:t>
      </w:r>
      <w:r w:rsidRPr="00530376">
        <w:rPr>
          <w:rFonts w:ascii="仿宋" w:eastAsia="仿宋" w:hAnsi="仿宋"/>
          <w:sz w:val="28"/>
          <w:szCs w:val="28"/>
          <w:lang w:eastAsia="zh-Hans"/>
        </w:rPr>
        <w:t>FGU层承载于以太网物理层时，</w:t>
      </w:r>
      <w:r w:rsidRPr="00530376">
        <w:rPr>
          <w:rFonts w:ascii="仿宋" w:eastAsia="仿宋" w:hAnsi="仿宋" w:hint="eastAsia"/>
          <w:sz w:val="28"/>
          <w:szCs w:val="28"/>
          <w:lang w:eastAsia="zh-Hans"/>
        </w:rPr>
        <w:t>依靠采用以太网内核的优势，扩大</w:t>
      </w:r>
      <w:r w:rsidRPr="00530376">
        <w:rPr>
          <w:rFonts w:ascii="仿宋" w:eastAsia="仿宋" w:hAnsi="仿宋"/>
          <w:sz w:val="28"/>
          <w:szCs w:val="28"/>
          <w:lang w:eastAsia="zh-Hans"/>
        </w:rPr>
        <w:t>FGU技术使用范</w:t>
      </w:r>
      <w:r w:rsidRPr="00530376">
        <w:rPr>
          <w:rFonts w:ascii="仿宋" w:eastAsia="仿宋" w:hAnsi="仿宋" w:hint="eastAsia"/>
          <w:sz w:val="28"/>
          <w:szCs w:val="28"/>
          <w:lang w:eastAsia="zh-Hans"/>
        </w:rPr>
        <w:t>围，将</w:t>
      </w:r>
      <w:r w:rsidRPr="00530376">
        <w:rPr>
          <w:rFonts w:ascii="仿宋" w:eastAsia="仿宋" w:hAnsi="仿宋"/>
          <w:sz w:val="28"/>
          <w:szCs w:val="28"/>
          <w:lang w:eastAsia="zh-Hans"/>
        </w:rPr>
        <w:t>SPN端到端小颗粒专线下沉到CPE设备。</w:t>
      </w:r>
    </w:p>
    <w:p w:rsidR="00530376" w:rsidRDefault="00AA4DA7" w:rsidP="00745245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t>物理传输</w:t>
      </w:r>
      <w:r w:rsidRPr="009D4B5B">
        <w:rPr>
          <w:rFonts w:ascii="仿宋" w:eastAsia="仿宋" w:hAnsi="仿宋"/>
          <w:sz w:val="28"/>
          <w:szCs w:val="28"/>
          <w:lang w:eastAsia="zh-Hans"/>
        </w:rPr>
        <w:t>层</w:t>
      </w:r>
      <w:r w:rsidR="00530376" w:rsidRPr="00530376">
        <w:rPr>
          <w:rFonts w:ascii="仿宋" w:eastAsia="仿宋" w:hAnsi="仿宋"/>
          <w:sz w:val="28"/>
          <w:szCs w:val="28"/>
          <w:lang w:eastAsia="zh-Hans"/>
        </w:rPr>
        <w:t>：在原有50GE、100GE、200GE、400GE等高速以太网物理层接口的基础上，新增</w:t>
      </w:r>
      <w:r w:rsidR="00F42776" w:rsidRPr="00F42776">
        <w:rPr>
          <w:rFonts w:ascii="仿宋" w:eastAsia="仿宋" w:hAnsi="仿宋"/>
          <w:sz w:val="28"/>
          <w:szCs w:val="28"/>
          <w:lang w:eastAsia="zh-Hans"/>
        </w:rPr>
        <w:t>10GE以太网物理层接口。10GE以太网物理层将应</w:t>
      </w:r>
      <w:r w:rsidR="00F42776" w:rsidRPr="00F42776">
        <w:rPr>
          <w:rFonts w:ascii="仿宋" w:eastAsia="仿宋" w:hAnsi="仿宋" w:hint="eastAsia"/>
          <w:sz w:val="28"/>
          <w:szCs w:val="28"/>
          <w:lang w:eastAsia="zh-Hans"/>
        </w:rPr>
        <w:t>用于</w:t>
      </w:r>
      <w:r w:rsidR="00F42776" w:rsidRPr="00F42776">
        <w:rPr>
          <w:rFonts w:ascii="仿宋" w:eastAsia="仿宋" w:hAnsi="仿宋"/>
          <w:sz w:val="28"/>
          <w:szCs w:val="28"/>
          <w:lang w:eastAsia="zh-Hans"/>
        </w:rPr>
        <w:t>CPE场景中，直接承载FGU层，实现SPN技术</w:t>
      </w:r>
      <w:r w:rsidR="00F42776" w:rsidRPr="00F42776">
        <w:rPr>
          <w:rFonts w:ascii="仿宋" w:eastAsia="仿宋" w:hAnsi="仿宋" w:hint="eastAsia"/>
          <w:sz w:val="28"/>
          <w:szCs w:val="28"/>
          <w:lang w:eastAsia="zh-Hans"/>
        </w:rPr>
        <w:t>应用进一步下沉，</w:t>
      </w:r>
      <w:r w:rsidR="00F42776" w:rsidRPr="00F42776">
        <w:rPr>
          <w:rFonts w:ascii="仿宋" w:eastAsia="仿宋" w:hAnsi="仿宋"/>
          <w:sz w:val="28"/>
          <w:szCs w:val="28"/>
          <w:lang w:eastAsia="zh-Hans"/>
        </w:rPr>
        <w:t>SPN网络范围进一步拓展。</w:t>
      </w:r>
    </w:p>
    <w:p w:rsidR="00B759D9" w:rsidRPr="007F40F2" w:rsidRDefault="00221ABD" w:rsidP="007F40F2">
      <w:pPr>
        <w:pStyle w:val="2"/>
        <w:spacing w:line="360" w:lineRule="auto"/>
        <w:ind w:firstLine="560"/>
        <w:jc w:val="both"/>
        <w:rPr>
          <w:rFonts w:ascii="仿宋" w:eastAsia="仿宋" w:hAnsi="仿宋" w:hint="eastAsia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t>小颗粒技术架构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多种场景的业务承载技术方案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，如图</w:t>
      </w:r>
      <w:r w:rsidR="007F40F2">
        <w:rPr>
          <w:rFonts w:ascii="仿宋" w:eastAsia="仿宋" w:hAnsi="仿宋" w:hint="eastAsia"/>
          <w:sz w:val="28"/>
          <w:szCs w:val="28"/>
        </w:rPr>
        <w:t>*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所示。路径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③—⑥—⑦—⑨—⑩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小带宽且高安全隔离的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CBR业务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，适用于有高安全隔离要求的生产I/II区的2M/STM-1业务接入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lastRenderedPageBreak/>
        <w:t>50G/100GFlexE网络场景。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路径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③—⑿—⑩通过10G SPN设备承载和终结落地，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变电站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/局域网内小带宽且高安全隔离的CBR业务，适用于有安全隔离要求的生产I/II区的2M/STM-1业务接入承载场景。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大带宽以太网端到端透传专线：①—④—⑨—⑩或⑾，适用于数据中心高速互连业务场景。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路径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②—④—⑨—⑩</w:t>
      </w:r>
      <w:r w:rsidR="007F40F2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汇聚型大带宽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L2VPN或L3VPN业务，适用于有统计复用需求、逻辑隔离要求的管理信息大区业务场景，如视频采集监控。</w:t>
      </w:r>
      <w:r w:rsidR="00912C06">
        <w:rPr>
          <w:rFonts w:ascii="仿宋" w:eastAsia="仿宋" w:hAnsi="仿宋" w:hint="eastAsia"/>
          <w:sz w:val="28"/>
          <w:szCs w:val="28"/>
          <w:lang w:eastAsia="zh-Hans"/>
        </w:rPr>
        <w:t>路径</w:t>
      </w:r>
      <w:r w:rsidR="00912C06" w:rsidRPr="007F40F2">
        <w:rPr>
          <w:rFonts w:ascii="仿宋" w:eastAsia="仿宋" w:hAnsi="仿宋"/>
          <w:sz w:val="28"/>
          <w:szCs w:val="28"/>
          <w:lang w:eastAsia="zh-Hans"/>
        </w:rPr>
        <w:t>②—⑤—⑨—⑩</w:t>
      </w:r>
      <w:r w:rsidR="00912C06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大带宽且高安全隔离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L2VPN/L3VPN业务，适用于带宽且有安全隔离要求的生产I/II区业务或多安全区业务综合承载场景。</w:t>
      </w:r>
      <w:r w:rsidR="00912C06">
        <w:rPr>
          <w:rFonts w:ascii="仿宋" w:eastAsia="仿宋" w:hAnsi="仿宋" w:hint="eastAsia"/>
          <w:sz w:val="28"/>
          <w:szCs w:val="28"/>
          <w:lang w:eastAsia="zh-Hans"/>
        </w:rPr>
        <w:t>路径</w:t>
      </w:r>
      <w:r w:rsidR="00912C06" w:rsidRPr="007F40F2">
        <w:rPr>
          <w:rFonts w:ascii="仿宋" w:eastAsia="仿宋" w:hAnsi="仿宋"/>
          <w:sz w:val="28"/>
          <w:szCs w:val="28"/>
          <w:lang w:eastAsia="zh-Hans"/>
        </w:rPr>
        <w:t>②—⑥—⑦—⑨—⑩</w:t>
      </w:r>
      <w:r w:rsidR="00912C06">
        <w:rPr>
          <w:rFonts w:ascii="仿宋" w:eastAsia="仿宋" w:hAnsi="仿宋" w:hint="eastAsia"/>
          <w:sz w:val="28"/>
          <w:szCs w:val="28"/>
          <w:lang w:eastAsia="zh-Hans"/>
        </w:rPr>
        <w:t>支持</w:t>
      </w:r>
      <w:r w:rsidR="007F40F2" w:rsidRPr="007F40F2">
        <w:rPr>
          <w:rFonts w:ascii="仿宋" w:eastAsia="仿宋" w:hAnsi="仿宋" w:hint="eastAsia"/>
          <w:sz w:val="28"/>
          <w:szCs w:val="28"/>
          <w:lang w:eastAsia="zh-Hans"/>
        </w:rPr>
        <w:t>小带宽且高安全隔离的</w:t>
      </w:r>
      <w:r w:rsidR="007F40F2" w:rsidRPr="007F40F2">
        <w:rPr>
          <w:rFonts w:ascii="仿宋" w:eastAsia="仿宋" w:hAnsi="仿宋"/>
          <w:sz w:val="28"/>
          <w:szCs w:val="28"/>
          <w:lang w:eastAsia="zh-Hans"/>
        </w:rPr>
        <w:t>L2VPN/L3VPN业务，适用于小带宽且有安全隔离要求的生产I/II区的TSN等业务直接接入50G/100G等FlexE网络场景。</w:t>
      </w:r>
    </w:p>
    <w:p w:rsidR="00683CE2" w:rsidRDefault="00683CE2" w:rsidP="00683CE2">
      <w:pPr>
        <w:pStyle w:val="2"/>
        <w:spacing w:line="360" w:lineRule="auto"/>
        <w:ind w:firstLineChars="0" w:firstLine="0"/>
        <w:jc w:val="center"/>
        <w:rPr>
          <w:rFonts w:ascii="仿宋" w:eastAsia="仿宋" w:hAnsi="仿宋"/>
          <w:sz w:val="28"/>
          <w:szCs w:val="28"/>
          <w:lang w:eastAsia="zh-Hans"/>
        </w:rPr>
      </w:pPr>
      <w:r>
        <w:rPr>
          <w:noProof/>
        </w:rPr>
        <w:drawing>
          <wp:inline distT="0" distB="0" distL="0" distR="0" wp14:anchorId="0D09F81A" wp14:editId="20ACC8EA">
            <wp:extent cx="3955473" cy="3285909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720" cy="33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A7" w:rsidRPr="00B759D9" w:rsidRDefault="00B759D9" w:rsidP="00683CE2">
      <w:pPr>
        <w:pStyle w:val="2"/>
        <w:spacing w:line="360" w:lineRule="auto"/>
        <w:ind w:firstLineChars="0" w:firstLine="0"/>
        <w:jc w:val="center"/>
        <w:rPr>
          <w:rFonts w:ascii="仿宋" w:eastAsia="仿宋" w:hAnsi="仿宋" w:hint="eastAsia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t>图</w:t>
      </w:r>
      <w:r>
        <w:rPr>
          <w:rFonts w:ascii="仿宋" w:eastAsia="仿宋" w:hAnsi="仿宋" w:hint="eastAsia"/>
          <w:sz w:val="28"/>
          <w:szCs w:val="28"/>
        </w:rPr>
        <w:t>*</w:t>
      </w:r>
      <w:r w:rsidRPr="00B759D9">
        <w:rPr>
          <w:rFonts w:ascii="仿宋" w:eastAsia="仿宋" w:hAnsi="仿宋" w:hint="eastAsia"/>
          <w:sz w:val="28"/>
          <w:szCs w:val="28"/>
        </w:rPr>
        <w:t>基于</w:t>
      </w:r>
      <w:r w:rsidR="00912C06">
        <w:rPr>
          <w:rFonts w:ascii="仿宋" w:eastAsia="仿宋" w:hAnsi="仿宋" w:hint="eastAsia"/>
          <w:sz w:val="28"/>
          <w:szCs w:val="28"/>
        </w:rPr>
        <w:t>小颗粒技术</w:t>
      </w:r>
      <w:r w:rsidRPr="00B759D9">
        <w:rPr>
          <w:rFonts w:ascii="仿宋" w:eastAsia="仿宋" w:hAnsi="仿宋"/>
          <w:sz w:val="28"/>
          <w:szCs w:val="28"/>
        </w:rPr>
        <w:t>的多业务承载技术路径</w:t>
      </w:r>
    </w:p>
    <w:sectPr w:rsidR="00AA4DA7" w:rsidRPr="00B7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15D" w:rsidRDefault="0000215D" w:rsidP="004329F3">
      <w:r>
        <w:separator/>
      </w:r>
    </w:p>
  </w:endnote>
  <w:endnote w:type="continuationSeparator" w:id="0">
    <w:p w:rsidR="0000215D" w:rsidRDefault="0000215D" w:rsidP="0043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15D" w:rsidRDefault="0000215D" w:rsidP="004329F3">
      <w:r>
        <w:separator/>
      </w:r>
    </w:p>
  </w:footnote>
  <w:footnote w:type="continuationSeparator" w:id="0">
    <w:p w:rsidR="0000215D" w:rsidRDefault="0000215D" w:rsidP="0043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F7E"/>
    <w:multiLevelType w:val="multilevel"/>
    <w:tmpl w:val="0E8C3F7E"/>
    <w:lvl w:ilvl="0">
      <w:start w:val="1"/>
      <w:numFmt w:val="decimal"/>
      <w:lvlText w:val="%1)"/>
      <w:lvlJc w:val="left"/>
      <w:pPr>
        <w:ind w:left="860" w:hanging="420"/>
      </w:p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21"/>
    <w:rsid w:val="0000215D"/>
    <w:rsid w:val="000A514E"/>
    <w:rsid w:val="00127E57"/>
    <w:rsid w:val="00165D62"/>
    <w:rsid w:val="001D05B9"/>
    <w:rsid w:val="001E471C"/>
    <w:rsid w:val="00221ABD"/>
    <w:rsid w:val="00250E55"/>
    <w:rsid w:val="004329F3"/>
    <w:rsid w:val="0045620A"/>
    <w:rsid w:val="00466069"/>
    <w:rsid w:val="004F7008"/>
    <w:rsid w:val="00530376"/>
    <w:rsid w:val="005A4BE3"/>
    <w:rsid w:val="005D5121"/>
    <w:rsid w:val="00624A31"/>
    <w:rsid w:val="00683CE2"/>
    <w:rsid w:val="006C6BCC"/>
    <w:rsid w:val="00745245"/>
    <w:rsid w:val="007C16C1"/>
    <w:rsid w:val="007F40F2"/>
    <w:rsid w:val="007F4469"/>
    <w:rsid w:val="00802AEF"/>
    <w:rsid w:val="008A0BBC"/>
    <w:rsid w:val="008E10B4"/>
    <w:rsid w:val="00912C06"/>
    <w:rsid w:val="0092347C"/>
    <w:rsid w:val="009440C8"/>
    <w:rsid w:val="009D4B5B"/>
    <w:rsid w:val="00A420B1"/>
    <w:rsid w:val="00AA4DA7"/>
    <w:rsid w:val="00B40D12"/>
    <w:rsid w:val="00B759D9"/>
    <w:rsid w:val="00BB0438"/>
    <w:rsid w:val="00BB39CD"/>
    <w:rsid w:val="00BE2A9C"/>
    <w:rsid w:val="00C12AC7"/>
    <w:rsid w:val="00CD7796"/>
    <w:rsid w:val="00CE5CFC"/>
    <w:rsid w:val="00D04505"/>
    <w:rsid w:val="00E31BA4"/>
    <w:rsid w:val="00F42776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154D2"/>
  <w15:chartTrackingRefBased/>
  <w15:docId w15:val="{E7E6D917-CE58-40B8-9581-434F4BC1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表段落2"/>
    <w:basedOn w:val="a"/>
    <w:uiPriority w:val="99"/>
    <w:qFormat/>
    <w:rsid w:val="005D5121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432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9F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83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68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1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6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65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0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4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Lee</dc:creator>
  <cp:keywords/>
  <dc:description/>
  <cp:lastModifiedBy>Zhicheng Lee</cp:lastModifiedBy>
  <cp:revision>4</cp:revision>
  <dcterms:created xsi:type="dcterms:W3CDTF">2021-12-02T12:32:00Z</dcterms:created>
  <dcterms:modified xsi:type="dcterms:W3CDTF">2021-12-04T04:42:00Z</dcterms:modified>
</cp:coreProperties>
</file>