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小颗粒技术方案通过巧妙设计帧结构，一个复帧包含20个基本帧，每一帧支持24个时隙，时隙的数量和位置固定，通过固定周期循环发生帧，实现对FlexE通道层的5Gbps颗粒的时隙划分与复用，形成带宽粒度为10Mbps的小颗粒通道，能够达到高带宽利用率，并且不同业务占用时隙位置严格固定，独享时隙资源，不同业务之间能够互不干扰严格隔离。为确保小颗粒与FlexE通道层兼容，小颗粒能够直接将FlexE通道层作为服务层，帧结构采用和FlexE通道层相同的64/66B编码格式，每个基本单元帧由一个固定长度的开始码块+数据码块+结束块共197个66B码块构成，包含1个时隙的开销和24个时隙的净荷编码。基本单元帧的195个数据码块和1个结束码块提供195*8+7字节的数据内容，包含7字节的开销和1560字节的净荷，其中净荷划分相同大小的24个子时隙。每个子时隙可以承载8个65bit码块，业务流中的66B码块在经过66B到65B压缩后，填充到65字节的子时隙中。在源端，相邻FGU基本单元帧之间插入一个Idle块，这样在FlexE通道层传输时可通过增删该Idle块实现速率适配。</w:t>
      </w:r>
    </w:p>
    <w:p>
      <w:r>
        <w:drawing>
          <wp:inline distT="0" distB="0" distL="114300" distR="114300">
            <wp:extent cx="5270500" cy="236982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 w:cs="Times New Roman"/>
          <w:sz w:val="28"/>
          <w:szCs w:val="28"/>
          <w:lang w:val="en-US" w:eastAsia="zh-CN"/>
        </w:rPr>
      </w:pPr>
      <w:r>
        <w:rPr>
          <w:rFonts w:ascii="仿宋" w:hAnsi="仿宋" w:eastAsia="仿宋" w:cs="Times New Roman"/>
          <w:sz w:val="28"/>
          <w:szCs w:val="28"/>
        </w:rPr>
        <w:t>图2</w:t>
      </w:r>
      <w:r>
        <w:rPr>
          <w:rFonts w:hint="eastAsia" w:ascii="仿宋" w:hAnsi="仿宋" w:eastAsia="仿宋" w:cs="Times New Roman"/>
          <w:sz w:val="28"/>
          <w:szCs w:val="28"/>
        </w:rPr>
        <w:t>-1</w:t>
      </w:r>
      <w:r>
        <w:rPr>
          <w:rFonts w:hint="eastAsia" w:ascii="仿宋" w:hAnsi="仿宋" w:eastAsia="仿宋" w:cs="Times New Roman"/>
          <w:sz w:val="28"/>
          <w:szCs w:val="28"/>
          <w:lang w:val="en-US" w:eastAsia="zh-CN"/>
        </w:rPr>
        <w:t>5</w:t>
      </w:r>
      <w:r>
        <w:rPr>
          <w:rFonts w:ascii="仿宋" w:hAnsi="仿宋" w:eastAsia="仿宋" w:cs="Times New Roman"/>
          <w:sz w:val="28"/>
          <w:szCs w:val="28"/>
        </w:rPr>
        <w:t xml:space="preserve"> </w:t>
      </w:r>
      <w:r>
        <w:rPr>
          <w:rFonts w:hint="eastAsia" w:ascii="仿宋" w:hAnsi="仿宋" w:eastAsia="仿宋" w:cs="Times New Roman"/>
          <w:sz w:val="28"/>
          <w:szCs w:val="28"/>
          <w:lang w:val="en-US" w:eastAsia="zh-CN"/>
        </w:rPr>
        <w:t>小颗粒帧的基本单元结构与时隙划分</w:t>
      </w:r>
    </w:p>
    <w:p>
      <w:pPr>
        <w:jc w:val="both"/>
        <w:rPr>
          <w:rFonts w:hint="default" w:ascii="仿宋" w:hAnsi="仿宋" w:eastAsia="仿宋" w:cs="Times New Roman"/>
          <w:sz w:val="28"/>
          <w:szCs w:val="28"/>
          <w:lang w:val="en-US" w:eastAsia="zh-CN"/>
        </w:rPr>
      </w:pPr>
      <w:r>
        <w:rPr>
          <w:rFonts w:hint="default" w:ascii="仿宋" w:hAnsi="仿宋" w:eastAsia="仿宋" w:cs="Times New Roman"/>
          <w:sz w:val="28"/>
          <w:szCs w:val="28"/>
          <w:lang w:val="en-US" w:eastAsia="zh-CN"/>
        </w:rPr>
        <w:drawing>
          <wp:inline distT="0" distB="0" distL="114300" distR="114300">
            <wp:extent cx="5270500" cy="1628140"/>
            <wp:effectExtent l="0" t="0" r="2540" b="2540"/>
            <wp:docPr id="4" name="图片 4" descr="屏幕截图 2021-12-04 095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1-12-04 0950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 w:cs="Times New Roman"/>
          <w:sz w:val="28"/>
          <w:szCs w:val="28"/>
          <w:lang w:val="en-US" w:eastAsia="zh-CN"/>
        </w:rPr>
      </w:pPr>
      <w:r>
        <w:rPr>
          <w:rFonts w:ascii="仿宋" w:hAnsi="仿宋" w:eastAsia="仿宋" w:cs="Times New Roman"/>
          <w:sz w:val="28"/>
          <w:szCs w:val="28"/>
        </w:rPr>
        <w:t>图2</w:t>
      </w:r>
      <w:r>
        <w:rPr>
          <w:rFonts w:hint="eastAsia" w:ascii="仿宋" w:hAnsi="仿宋" w:eastAsia="仿宋" w:cs="Times New Roman"/>
          <w:sz w:val="28"/>
          <w:szCs w:val="28"/>
        </w:rPr>
        <w:t>-1</w:t>
      </w:r>
      <w:r>
        <w:rPr>
          <w:rFonts w:hint="eastAsia" w:ascii="仿宋" w:hAnsi="仿宋" w:eastAsia="仿宋" w:cs="Times New Roman"/>
          <w:sz w:val="28"/>
          <w:szCs w:val="28"/>
          <w:lang w:val="en-US" w:eastAsia="zh-CN"/>
        </w:rPr>
        <w:t>6</w:t>
      </w:r>
      <w:r>
        <w:rPr>
          <w:rFonts w:ascii="仿宋" w:hAnsi="仿宋" w:eastAsia="仿宋" w:cs="Times New Roman"/>
          <w:sz w:val="28"/>
          <w:szCs w:val="28"/>
        </w:rPr>
        <w:t xml:space="preserve"> </w:t>
      </w:r>
      <w:r>
        <w:rPr>
          <w:rFonts w:hint="eastAsia" w:ascii="仿宋" w:hAnsi="仿宋" w:eastAsia="仿宋" w:cs="Times New Roman"/>
          <w:sz w:val="28"/>
          <w:szCs w:val="28"/>
          <w:lang w:val="en-US" w:eastAsia="zh-CN"/>
        </w:rPr>
        <w:t>基于FlexE通道层5Gbps颗粒的小颗粒时隙划分及复用</w:t>
      </w:r>
    </w:p>
    <w:p>
      <w:pPr>
        <w:jc w:val="center"/>
        <w:rPr>
          <w:rFonts w:hint="default" w:ascii="仿宋" w:hAnsi="仿宋" w:eastAsia="仿宋" w:cs="Times New Roman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FlexE时隙交叉是在FlexE接口技术基础上，增加FlexE Client时隙交叉和电信级OAM＆保护功能，实现FlexE隧道组网。同时基于FlexE Client时隙交叉技术省去分组转发的成帧、组包、查表、缓存等处理过程，可以实现低时延低抖动转发，转发隔离效果最好。从图2-17中可以看出，FlexE时隙交叉在整个层次化的业务转发架构体系中是属于L1层的一种转发技术，将FlexE Client的时隙进行电层的时隙交叉，通过配置不同时隙间的交叉，将某个FlexE Client时隙块交叉到另外FlexE Client的时隙块，时隙交叉过程中不感知具体承载的报文，也不进行报文的缓存和査表，业务时隙块完全是基于固定路径和固定码率的处理，整个过程的处理时延可达到微秒级别，而且在时延抖动上可以做到几乎无抖动。</w:t>
      </w:r>
    </w:p>
    <w:p>
      <w:r>
        <w:drawing>
          <wp:inline distT="0" distB="0" distL="114300" distR="114300">
            <wp:extent cx="5262245" cy="1538605"/>
            <wp:effectExtent l="0" t="0" r="10795" b="63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53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ascii="仿宋" w:hAnsi="仿宋" w:eastAsia="仿宋" w:cs="Times New Roman"/>
          <w:sz w:val="28"/>
          <w:szCs w:val="28"/>
        </w:rPr>
        <w:t>图2</w:t>
      </w:r>
      <w:r>
        <w:rPr>
          <w:rFonts w:hint="eastAsia" w:ascii="仿宋" w:hAnsi="仿宋" w:eastAsia="仿宋" w:cs="Times New Roman"/>
          <w:sz w:val="28"/>
          <w:szCs w:val="28"/>
        </w:rPr>
        <w:t>-1</w:t>
      </w:r>
      <w:r>
        <w:rPr>
          <w:rFonts w:hint="eastAsia" w:ascii="仿宋" w:hAnsi="仿宋" w:eastAsia="仿宋" w:cs="Times New Roman"/>
          <w:sz w:val="28"/>
          <w:szCs w:val="28"/>
          <w:lang w:val="en-US" w:eastAsia="zh-CN"/>
        </w:rPr>
        <w:t>7</w:t>
      </w:r>
      <w:r>
        <w:rPr>
          <w:rFonts w:ascii="仿宋" w:hAnsi="仿宋" w:eastAsia="仿宋" w:cs="Times New Roman"/>
          <w:sz w:val="28"/>
          <w:szCs w:val="28"/>
        </w:rPr>
        <w:t xml:space="preserve"> </w:t>
      </w:r>
      <w:r>
        <w:rPr>
          <w:rFonts w:hint="eastAsia" w:ascii="仿宋" w:hAnsi="仿宋" w:eastAsia="仿宋" w:cs="Times New Roman"/>
          <w:sz w:val="28"/>
          <w:szCs w:val="28"/>
          <w:lang w:val="en-US" w:eastAsia="zh-CN"/>
        </w:rPr>
        <w:t>FlexE时隙交叉基于L1层的电层时隙交换</w:t>
      </w:r>
    </w:p>
    <w:p>
      <w:pPr>
        <w:ind w:firstLine="420" w:firstLineChars="0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FlexE通道建立前需要确定固定的时隙交叉关系，从而保障小颗粒严格的TDM特性。小颗粒时隙由管控层集中分配和确定，从源节点到宿节点，需要确定和配置每一个节点的入向和出向端口的时隙交叉关系。在时隙分配时，管控层可以精确获取到每个节点端口的时隙可用资源，基于全局集中化的数据和基于最短跳数、最低时延等不同策略，规划FlexE通道的路径和时隙交叉关系，以达到性能最优化。</w:t>
      </w:r>
    </w:p>
    <w:p>
      <w:r>
        <w:drawing>
          <wp:inline distT="0" distB="0" distL="114300" distR="114300">
            <wp:extent cx="5176520" cy="2012315"/>
            <wp:effectExtent l="0" t="0" r="5080" b="1460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6520" cy="201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仿宋" w:hAnsi="仿宋" w:eastAsia="仿宋" w:cs="Times New Roman"/>
          <w:sz w:val="28"/>
          <w:szCs w:val="28"/>
          <w:lang w:val="en-US" w:eastAsia="zh-CN"/>
        </w:rPr>
      </w:pPr>
      <w:r>
        <w:rPr>
          <w:rFonts w:ascii="仿宋" w:hAnsi="仿宋" w:eastAsia="仿宋" w:cs="Times New Roman"/>
          <w:sz w:val="28"/>
          <w:szCs w:val="28"/>
        </w:rPr>
        <w:t>图2</w:t>
      </w:r>
      <w:r>
        <w:rPr>
          <w:rFonts w:hint="eastAsia" w:ascii="仿宋" w:hAnsi="仿宋" w:eastAsia="仿宋" w:cs="Times New Roman"/>
          <w:sz w:val="28"/>
          <w:szCs w:val="28"/>
        </w:rPr>
        <w:t>-1</w:t>
      </w:r>
      <w:r>
        <w:rPr>
          <w:rFonts w:hint="eastAsia" w:ascii="仿宋" w:hAnsi="仿宋" w:eastAsia="仿宋" w:cs="Times New Roman"/>
          <w:sz w:val="28"/>
          <w:szCs w:val="28"/>
          <w:lang w:val="en-US" w:eastAsia="zh-CN"/>
        </w:rPr>
        <w:t>8</w:t>
      </w:r>
      <w:r>
        <w:rPr>
          <w:rFonts w:ascii="仿宋" w:hAnsi="仿宋" w:eastAsia="仿宋" w:cs="Times New Roman"/>
          <w:sz w:val="28"/>
          <w:szCs w:val="28"/>
        </w:rPr>
        <w:t xml:space="preserve"> </w:t>
      </w:r>
      <w:r>
        <w:rPr>
          <w:rFonts w:hint="eastAsia" w:ascii="仿宋" w:hAnsi="仿宋" w:eastAsia="仿宋" w:cs="Times New Roman"/>
          <w:sz w:val="28"/>
          <w:szCs w:val="28"/>
          <w:lang w:val="en-US" w:eastAsia="zh-CN"/>
        </w:rPr>
        <w:t>FlexE时隙交叉技术原理</w:t>
      </w:r>
    </w:p>
    <w:p>
      <w:pPr>
        <w:ind w:firstLine="420" w:firstLineChars="0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如图2-18所示，在PE节点将用户业务报文适配到FlexE交叉通道，在Ｐ节点采用FlexE交叉，直接基于以太网码流完成业务在线路端口间的转发，从而达到极低的转发时延。FlexE Group A/B表示两个FlexE Group方向，每个Group下有ｍ个物理链路，假设共配置三个FlexE Client业务：（１）蓝色Client1适配到左边1/4/5号时隙，交叉到右边的2/5/8号时隙；（２）红色Client２适配到右边13/15/17号时隙，交叉到左边3/7/10号时隙；（３）黄色Client３为穿通业务，左边13/15/17/19号时隙，交叉到右边0/1/3/6号时隙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针对图2-1</w:t>
      </w:r>
      <w:bookmarkStart w:id="0" w:name="_GoBack"/>
      <w:bookmarkEnd w:id="0"/>
      <w:r>
        <w:rPr>
          <w:rFonts w:hint="eastAsia" w:ascii="仿宋" w:hAnsi="仿宋" w:eastAsia="仿宋"/>
          <w:sz w:val="28"/>
          <w:szCs w:val="28"/>
          <w:lang w:val="en-US" w:eastAsia="zh-CN"/>
        </w:rPr>
        <w:t>8中的黄色穿通业务，Group Ａ先从ｍ个PHY上接收码块，并恢复m×20码块序列，根据事先配置的时隙表，从13/15/17/19号时隙提取码块，恢复Client３码块流，然后通过系统的码块交叉，输出到出口方向，并把码块插入到右侧m×20个码块序列中的0/1/3/6号时隙，最后通过PHY转发到下一个节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B614DF"/>
    <w:rsid w:val="12EA7289"/>
    <w:rsid w:val="1372481A"/>
    <w:rsid w:val="169B37BB"/>
    <w:rsid w:val="17DD00AB"/>
    <w:rsid w:val="18ED6A14"/>
    <w:rsid w:val="1C2F2E9F"/>
    <w:rsid w:val="1E580DC1"/>
    <w:rsid w:val="1F845EBA"/>
    <w:rsid w:val="215E44A7"/>
    <w:rsid w:val="23B2591D"/>
    <w:rsid w:val="28C3358C"/>
    <w:rsid w:val="2B053749"/>
    <w:rsid w:val="2BE414A3"/>
    <w:rsid w:val="32917FB8"/>
    <w:rsid w:val="33184235"/>
    <w:rsid w:val="335A635C"/>
    <w:rsid w:val="34655258"/>
    <w:rsid w:val="34C71A6F"/>
    <w:rsid w:val="36CC58C2"/>
    <w:rsid w:val="37895702"/>
    <w:rsid w:val="3B0149DF"/>
    <w:rsid w:val="3BB34EA7"/>
    <w:rsid w:val="3C251641"/>
    <w:rsid w:val="40970E8F"/>
    <w:rsid w:val="43805C0B"/>
    <w:rsid w:val="46E42955"/>
    <w:rsid w:val="492E6F7B"/>
    <w:rsid w:val="49753D38"/>
    <w:rsid w:val="4AAF7CE8"/>
    <w:rsid w:val="4C433C79"/>
    <w:rsid w:val="50BE7D72"/>
    <w:rsid w:val="540463E4"/>
    <w:rsid w:val="55894DF3"/>
    <w:rsid w:val="570F1328"/>
    <w:rsid w:val="5781726E"/>
    <w:rsid w:val="5A64198B"/>
    <w:rsid w:val="64202DC6"/>
    <w:rsid w:val="644E49FD"/>
    <w:rsid w:val="66CA3A4C"/>
    <w:rsid w:val="67B33F51"/>
    <w:rsid w:val="689269EA"/>
    <w:rsid w:val="689D1F98"/>
    <w:rsid w:val="69CC12FA"/>
    <w:rsid w:val="6A3F7D1E"/>
    <w:rsid w:val="6B120DF4"/>
    <w:rsid w:val="6BD9385B"/>
    <w:rsid w:val="6D605470"/>
    <w:rsid w:val="6EFC4430"/>
    <w:rsid w:val="706D2B21"/>
    <w:rsid w:val="738A5B9F"/>
    <w:rsid w:val="74D6127F"/>
    <w:rsid w:val="788C297D"/>
    <w:rsid w:val="792F71B0"/>
    <w:rsid w:val="7FDE4F57"/>
    <w:rsid w:val="7FE9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表段落2"/>
    <w:basedOn w:val="1"/>
    <w:qFormat/>
    <w:uiPriority w:val="99"/>
    <w:pPr>
      <w:widowControl/>
      <w:spacing w:after="160" w:line="259" w:lineRule="auto"/>
      <w:ind w:firstLine="420" w:firstLineChars="200"/>
      <w:jc w:val="left"/>
    </w:pPr>
    <w:rPr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2021-12-03T00:22:00Z</dcterms:created>
  <dc:creator>28274</dc:creator>
  <cp:lastModifiedBy>啊星</cp:lastModifiedBy>
  <dcterms:modified xsi:type="dcterms:W3CDTF">2021-12-04T02:03:46Z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7AB4612DDA204BA699CA1E1E5280E271</vt:lpwstr>
  </property>
</Properties>
</file>