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自验收准备事项</w:t>
      </w:r>
    </w:p>
    <w:p>
      <w:pPr>
        <w:jc w:val="both"/>
        <w:rPr>
          <w:rFonts w:hint="eastAsia"/>
          <w:lang w:val="en-US" w:eastAsia="zh-CN"/>
        </w:rPr>
      </w:pPr>
    </w:p>
    <w:p>
      <w:pPr>
        <w:numPr>
          <w:ilvl w:val="0"/>
          <w:numId w:val="1"/>
        </w:numPr>
        <w:jc w:val="both"/>
        <w:rPr>
          <w:rFonts w:hint="eastAsia"/>
          <w:lang w:val="en-US" w:eastAsia="zh-CN"/>
        </w:rPr>
      </w:pPr>
      <w:r>
        <w:rPr>
          <w:rFonts w:hint="eastAsia"/>
          <w:lang w:val="en-US" w:eastAsia="zh-CN"/>
        </w:rPr>
        <w:t>需要具备的材料清单</w:t>
      </w:r>
    </w:p>
    <w:p>
      <w:pPr>
        <w:numPr>
          <w:ilvl w:val="1"/>
          <w:numId w:val="1"/>
        </w:numPr>
        <w:ind w:left="84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3个研究报告(2)</w:t>
      </w:r>
    </w:p>
    <w:p>
      <w:pPr>
        <w:numPr>
          <w:ilvl w:val="1"/>
          <w:numId w:val="1"/>
        </w:numPr>
        <w:ind w:left="840" w:leftChars="0" w:hanging="420" w:firstLineChars="0"/>
        <w:jc w:val="both"/>
        <w:rPr>
          <w:rFonts w:hint="default"/>
          <w:color w:val="00B050"/>
          <w:lang w:val="en-US" w:eastAsia="zh-CN"/>
        </w:rPr>
      </w:pPr>
      <w:r>
        <w:rPr>
          <w:rFonts w:hint="eastAsia"/>
          <w:color w:val="00B050"/>
          <w:lang w:val="en-US" w:eastAsia="zh-CN"/>
        </w:rPr>
        <w:t>1个总的技术报告(2)，体现区别</w:t>
      </w:r>
    </w:p>
    <w:p>
      <w:pPr>
        <w:numPr>
          <w:ilvl w:val="1"/>
          <w:numId w:val="1"/>
        </w:numPr>
        <w:ind w:left="840" w:leftChars="0" w:hanging="420" w:firstLineChars="0"/>
        <w:jc w:val="both"/>
        <w:rPr>
          <w:rFonts w:hint="default"/>
          <w:lang w:val="en-US" w:eastAsia="zh-CN"/>
        </w:rPr>
      </w:pPr>
      <w:r>
        <w:rPr>
          <w:rFonts w:hint="eastAsia"/>
          <w:lang w:val="en-US" w:eastAsia="zh-CN"/>
          <w14:textFill>
            <w14:gradFill>
              <w14:gsLst>
                <w14:gs w14:pos="0">
                  <w14:srgbClr w14:val="012D86"/>
                </w14:gs>
                <w14:gs w14:pos="100000">
                  <w14:srgbClr w14:val="0E2557"/>
                </w14:gs>
              </w14:gsLst>
              <w14:lin w14:scaled="0"/>
            </w14:gradFill>
          </w14:textFill>
        </w:rPr>
        <w:t>1个工作报告(1)，含知识产权完成情况</w:t>
      </w:r>
    </w:p>
    <w:p>
      <w:pPr>
        <w:numPr>
          <w:ilvl w:val="0"/>
          <w:numId w:val="1"/>
        </w:numPr>
        <w:ind w:left="0" w:leftChars="0" w:firstLine="0" w:firstLineChars="0"/>
        <w:jc w:val="both"/>
        <w:rPr>
          <w:rFonts w:hint="eastAsia"/>
          <w:lang w:val="en-US" w:eastAsia="zh-CN"/>
        </w:rPr>
      </w:pPr>
      <w:r>
        <w:rPr>
          <w:rFonts w:hint="eastAsia"/>
          <w:lang w:val="en-US" w:eastAsia="zh-CN"/>
        </w:rPr>
        <w:t>技术报告要求</w:t>
      </w:r>
    </w:p>
    <w:p>
      <w:pPr>
        <w:numPr>
          <w:ilvl w:val="1"/>
          <w:numId w:val="1"/>
        </w:numPr>
        <w:ind w:left="840" w:leftChars="0" w:hanging="420" w:firstLineChars="0"/>
        <w:jc w:val="both"/>
        <w:rPr>
          <w:rFonts w:hint="eastAsia"/>
          <w:lang w:val="en-US" w:eastAsia="zh-CN"/>
        </w:rPr>
      </w:pPr>
      <w:r>
        <w:rPr>
          <w:rFonts w:hint="eastAsia"/>
          <w:lang w:val="en-US" w:eastAsia="zh-CN"/>
        </w:rPr>
        <w:t>内容要求</w:t>
      </w:r>
    </w:p>
    <w:p>
      <w:pPr>
        <w:numPr>
          <w:ilvl w:val="1"/>
          <w:numId w:val="2"/>
        </w:numPr>
        <w:ind w:left="126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将国网项目中启动会的一些内容，特别是技术标准研究内容作为本项目的结论，如SDP标准，原有的PWE3 2M不能满足生产条件要求，需要研究新的通信和设备标准</w:t>
      </w:r>
    </w:p>
    <w:p>
      <w:pPr>
        <w:numPr>
          <w:ilvl w:val="1"/>
          <w:numId w:val="2"/>
        </w:numPr>
        <w:ind w:left="126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适应场景范围扩展</w:t>
      </w:r>
    </w:p>
    <w:p>
      <w:pPr>
        <w:numPr>
          <w:ilvl w:val="2"/>
          <w:numId w:val="2"/>
        </w:numPr>
        <w:ind w:left="168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3个维度的覆盖性</w:t>
      </w:r>
    </w:p>
    <w:p>
      <w:pPr>
        <w:numPr>
          <w:ilvl w:val="2"/>
          <w:numId w:val="2"/>
        </w:numPr>
        <w:ind w:left="168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引用实用性分析的材料</w:t>
      </w:r>
    </w:p>
    <w:p>
      <w:pPr>
        <w:numPr>
          <w:ilvl w:val="1"/>
          <w:numId w:val="2"/>
        </w:numPr>
        <w:ind w:left="126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面向未来业务,单列一章</w:t>
      </w:r>
    </w:p>
    <w:p>
      <w:pPr>
        <w:numPr>
          <w:ilvl w:val="2"/>
          <w:numId w:val="2"/>
        </w:numPr>
        <w:ind w:left="168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面向新型电力系统，如光伏等，</w:t>
      </w:r>
    </w:p>
    <w:p>
      <w:pPr>
        <w:numPr>
          <w:ilvl w:val="3"/>
          <w:numId w:val="2"/>
        </w:numPr>
        <w:ind w:left="2100" w:leftChars="0" w:hanging="420" w:firstLineChars="0"/>
        <w:jc w:val="both"/>
        <w:rPr>
          <w:rFonts w:hint="default"/>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业务流向改变：从场站——市县----省汇聚的模式改为类似于运营商的分布式数据中心间横向流量分布模式</w:t>
      </w:r>
    </w:p>
    <w:p>
      <w:pPr>
        <w:numPr>
          <w:ilvl w:val="0"/>
          <w:numId w:val="0"/>
        </w:numPr>
        <w:ind w:firstLine="420" w:firstLineChars="0"/>
        <w:jc w:val="both"/>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 xml:space="preserve">        场景也包括数据中心互联  DCI</w:t>
      </w:r>
    </w:p>
    <w:p>
      <w:pPr>
        <w:numPr>
          <w:ilvl w:val="1"/>
          <w:numId w:val="1"/>
        </w:numPr>
        <w:ind w:left="840" w:leftChars="0" w:hanging="420" w:firstLineChars="0"/>
        <w:jc w:val="both"/>
        <w:rPr>
          <w:rFonts w:hint="default"/>
          <w:lang w:val="en-US" w:eastAsia="zh-CN"/>
        </w:rPr>
      </w:pPr>
      <w:r>
        <w:rPr>
          <w:rFonts w:hint="eastAsia"/>
          <w:lang w:val="en-US" w:eastAsia="zh-CN"/>
        </w:rPr>
        <w:t>形式要求</w:t>
      </w:r>
    </w:p>
    <w:p>
      <w:pPr>
        <w:numPr>
          <w:ilvl w:val="2"/>
          <w:numId w:val="2"/>
        </w:numPr>
        <w:ind w:left="1260" w:leftChars="0" w:hanging="420" w:firstLineChars="0"/>
        <w:jc w:val="both"/>
        <w:rPr>
          <w:rFonts w:hint="default"/>
          <w:color w:val="00B050"/>
          <w:lang w:val="en-US" w:eastAsia="zh-CN"/>
        </w:rPr>
      </w:pPr>
      <w:r>
        <w:rPr>
          <w:rFonts w:hint="eastAsia"/>
          <w:color w:val="00B050"/>
          <w:lang w:val="en-US" w:eastAsia="zh-CN"/>
        </w:rPr>
        <w:t>研究报告和技术报告之间体现区分度</w:t>
      </w:r>
    </w:p>
    <w:p>
      <w:pPr>
        <w:numPr>
          <w:numId w:val="0"/>
        </w:numPr>
        <w:jc w:val="both"/>
        <w:rPr>
          <w:rFonts w:hint="default"/>
          <w:color w:val="00B050"/>
          <w:highlight w:val="yellow"/>
          <w:lang w:val="en-US" w:eastAsia="zh-CN"/>
          <w14:textFill>
            <w14:gradFill>
              <w14:gsLst>
                <w14:gs w14:pos="0">
                  <w14:srgbClr w14:val="E30000"/>
                </w14:gs>
                <w14:gs w14:pos="100000">
                  <w14:srgbClr w14:val="760303"/>
                </w14:gs>
              </w14:gsLst>
              <w14:lin w14:scaled="0"/>
            </w14:gradFill>
          </w14:textFill>
        </w:rPr>
      </w:pPr>
      <w:r>
        <w:rPr>
          <w:rFonts w:hint="eastAsia"/>
          <w:color w:val="00B050"/>
          <w:highlight w:val="yellow"/>
          <w:lang w:val="en-US" w:eastAsia="zh-CN"/>
          <w14:textFill>
            <w14:gradFill>
              <w14:gsLst>
                <w14:gs w14:pos="0">
                  <w14:srgbClr w14:val="E30000"/>
                </w14:gs>
                <w14:gs w14:pos="100000">
                  <w14:srgbClr w14:val="760303"/>
                </w14:gs>
              </w14:gsLst>
              <w14:lin w14:scaled="0"/>
            </w14:gradFill>
          </w14:textFill>
        </w:rPr>
        <w:t>3、对照任务书可研报告中的研究内容、关键技术和难点是否在相应报告中均有所体现</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8DE3A9"/>
    <w:multiLevelType w:val="multilevel"/>
    <w:tmpl w:val="CD8DE3A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11740F4"/>
    <w:multiLevelType w:val="multilevel"/>
    <w:tmpl w:val="311740F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FE2F33"/>
    <w:rsid w:val="743A3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2021-11-30T06:58:00Z</dcterms:created>
  <dc:creator>19681</dc:creator>
  <cp:lastModifiedBy>19681</cp:lastModifiedBy>
  <dcterms:modified xsi:type="dcterms:W3CDTF">2021-12-08T07:25:46Z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052923F62EFC45629DD60142ECF26F52</vt:lpwstr>
  </property>
</Properties>
</file>