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3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Style w:val="6"/>
        <w:tblpPr w:leftFromText="180" w:rightFromText="180" w:vertAnchor="text" w:horzAnchor="margin" w:tblpY="158"/>
        <w:tblW w:w="92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1630"/>
        <w:gridCol w:w="1080"/>
        <w:gridCol w:w="447"/>
        <w:gridCol w:w="1134"/>
        <w:gridCol w:w="579"/>
        <w:gridCol w:w="1080"/>
        <w:gridCol w:w="12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0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电子工程学院</w:t>
            </w:r>
          </w:p>
        </w:tc>
        <w:tc>
          <w:tcPr>
            <w:tcW w:w="1080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电子科学与技术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2018211205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7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蔡俊儒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2018210918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7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王颖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78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210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（中文）基于FlexE的传送网切片编排方法的设计与实现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078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10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  <w:bookmarkStart w:id="1" w:name="OLE_LINK1"/>
            <w:r>
              <w:rPr>
                <w:rFonts w:hint="eastAsia"/>
                <w:sz w:val="18"/>
                <w:szCs w:val="18"/>
              </w:rPr>
              <w:t>Design and implementation of orchestration method of transport network slice based on FlexE</w:t>
            </w:r>
            <w:bookmarkEnd w:id="1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7" w:hRule="atLeast"/>
        </w:trPr>
        <w:tc>
          <w:tcPr>
            <w:tcW w:w="9288" w:type="dxa"/>
            <w:gridSpan w:val="8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毕业设计（论文）开题报告内容：</w:t>
            </w:r>
          </w:p>
          <w:p>
            <w:pPr>
              <w:spacing w:line="360" w:lineRule="auto"/>
            </w:pPr>
            <w:r>
              <w:rPr>
                <w:rFonts w:hint="eastAsia" w:ascii="宋体" w:hAnsi="宋体" w:cs="宋体"/>
                <w:szCs w:val="21"/>
              </w:rPr>
              <w:t>【选题背景和意义】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柔性以太网(Flexible Ethernet, FlexE)是由国际标准组织光互联网论坛(Optical Internetworking Forum, OIF）主导的一种新兴网络传输技术，有望在网络资源虚拟化方面迅速得到应用。FlexE技术通过在MAC层与PCS层中新增 Flex</w:t>
            </w:r>
            <w:r>
              <w:rPr>
                <w:rFonts w:hint="eastAsia"/>
                <w:szCs w:val="21"/>
                <w:lang w:val="en-US" w:eastAsia="zh-CN"/>
              </w:rPr>
              <w:t xml:space="preserve">E </w:t>
            </w:r>
            <w:r>
              <w:rPr>
                <w:rFonts w:hint="eastAsia"/>
                <w:szCs w:val="21"/>
              </w:rPr>
              <w:t>Shim 层，实现网络灵活性、多速率、刚性接口等特性。其捆绑、通道化、子速率等功能，可以与 IP/Ethernet 技术良好对接，提供了基于以太网物理接口的切片隔离机制，在承载移动业务、数据中心互联等方面有广阔的应用前景。而网络切片是指一种按需组网的方式，可以让运营商在统一的基础设施上切出多个虚拟的端到端网络，每个网络切片在转发面、控制面、管理面上实现逻辑隔离，适配各种类型服务并满足用户的不同需求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最近的提议中，对基于FlexE的网络切片编排研究大多局限于满足用于承载所需FlexE流量的需求，仅计算必要的网络拓扑与隧道连接。在参考文献[2]中，FlexE网络切片编排通过使用IETF-TEAS模型，找到足够满足可用于承载所需的FlexE流量的可行路径。该文献的方案虽然能够满足客户的流量带宽需求，但是对网络切片的时延、可靠性、可扩展性等需求没有保障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考文献[3]提出了一种基于SDN的FlexE网络切片解决方案，将FlexE与覆盖网络集成在一起，以支持网络切片。该方案所提出的基于SDN的FlexE部署架构中，虽然指明了网络切片实例的服务编排需要考虑复杂拓扑结构的链路，并需要确保所需的SLA，但是没有深入研究出相关的切片编排算法。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课题是在上述背景下，基于FlexE网络切片开通流程、技术特点，针对典型租户业务需求，对基于FlexE的传输网络切片编排问题进行研究和建模，在此基础上设计一种启发式算法求解切片编排问题，从而引入智能编排功能，能够在满足差异化的多租户需求的同时，提高基础设施网络的资源利用率。</w:t>
            </w:r>
          </w:p>
          <w:p>
            <w:pPr>
              <w:spacing w:line="360" w:lineRule="auto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宋体" w:hAnsi="宋体" w:cs="宋体"/>
                <w:szCs w:val="21"/>
              </w:rPr>
              <w:t>【研究基本内容和拟解决的主要问题】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研究的内容是在配备无线电、连接和云资源组合的同一物理网络环境下，包括6节点的小型网络以及38节点的大型网络两种场景实例。</w:t>
            </w:r>
            <w:r>
              <w:rPr>
                <w:rFonts w:hint="eastAsia"/>
                <w:szCs w:val="21"/>
              </w:rPr>
              <w:t>研究的基本内容包括分析基于FlexE的切片编排流程和技术特点，建立基于FlexE的传送网切片编排问题模型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并针对该网络切片编排模型</w:t>
            </w:r>
            <w:r>
              <w:rPr>
                <w:rFonts w:hint="eastAsia"/>
                <w:szCs w:val="21"/>
              </w:rPr>
              <w:t>研究能够提高可用网络切片资源的利用率并满足用户</w:t>
            </w:r>
            <w:r>
              <w:rPr>
                <w:rStyle w:val="9"/>
                <w:rFonts w:hint="eastAsia"/>
                <w:lang w:val="en-US" w:eastAsia="zh-CN"/>
              </w:rPr>
              <w:t>需求</w:t>
            </w:r>
            <w:r>
              <w:rPr>
                <w:rFonts w:hint="eastAsia"/>
                <w:szCs w:val="21"/>
              </w:rPr>
              <w:t>的调度机制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设计出一种相应的启发式算法求解切片编排问题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从而</w:t>
            </w:r>
            <w:r>
              <w:rPr>
                <w:rFonts w:hint="eastAsia"/>
                <w:szCs w:val="21"/>
              </w:rPr>
              <w:t>形成智能化的</w:t>
            </w:r>
            <w:r>
              <w:rPr>
                <w:rFonts w:hint="eastAsia"/>
                <w:szCs w:val="21"/>
                <w:lang w:val="en-US" w:eastAsia="zh-CN"/>
              </w:rPr>
              <w:t>网络切片</w:t>
            </w:r>
            <w:r>
              <w:rPr>
                <w:rFonts w:hint="eastAsia"/>
                <w:szCs w:val="21"/>
              </w:rPr>
              <w:t>资源分配方案。</w:t>
            </w:r>
            <w:r>
              <w:rPr>
                <w:rFonts w:hint="eastAsia"/>
                <w:szCs w:val="21"/>
                <w:lang w:val="en-US" w:eastAsia="zh-CN"/>
              </w:rPr>
              <w:t>本论文拟解决于应用FlexE技术的网络切片编排问题中，在满足差异化租户需求的情况下，最小化网络切片资源分配的问题。</w:t>
            </w:r>
            <w:r>
              <w:rPr>
                <w:rFonts w:hint="eastAsia"/>
                <w:szCs w:val="21"/>
              </w:rPr>
              <w:t>最后还需要</w:t>
            </w:r>
            <w:r>
              <w:rPr>
                <w:rFonts w:hint="eastAsia"/>
                <w:szCs w:val="21"/>
                <w:lang w:val="en-US" w:eastAsia="zh-CN"/>
              </w:rPr>
              <w:t>通过</w:t>
            </w:r>
            <w:bookmarkStart w:id="2" w:name="_GoBack"/>
            <w:bookmarkEnd w:id="2"/>
            <w:r>
              <w:rPr>
                <w:rFonts w:hint="eastAsia"/>
                <w:szCs w:val="21"/>
              </w:rPr>
              <w:t>编程实现上述算法，设计和</w:t>
            </w:r>
            <w:r>
              <w:rPr>
                <w:rFonts w:hint="eastAsia"/>
                <w:szCs w:val="21"/>
                <w:lang w:val="en-US" w:eastAsia="zh-CN"/>
              </w:rPr>
              <w:t>搭</w:t>
            </w:r>
            <w:r>
              <w:rPr>
                <w:rFonts w:hint="eastAsia"/>
                <w:szCs w:val="21"/>
              </w:rPr>
              <w:t>建仿真环境，设计相应的评价指标，对设计实现的切片编排算法进行验证和评估。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【研究方法及措施】</w:t>
            </w: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阅读文献，学习FlexE的基础原理和数据交换过程，分析基于FlexE的切片编排流程，调研能满足要求的切片编排算法，通过理解分析达到正确的应用。根据典型的租户需求，建立基于FlexE的传送网切片编排问题模型。通过对已有的切片编排算法的学习和理解，研究设计一种启发式算法应用至建立的模型中，从而解决在满足差异化租户需求的情况下，最小化资源分配的问题。最后编程实现上述算法，搭建仿真环境，设计评价指标，对设计实现的切片编排算法进行比较和评估。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【研究工作的步骤和进度】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6"/>
              <w:gridCol w:w="4885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6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85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文献调研阶段，明确课题目标及具体内容，查阅研究领域相关材料，学习FlexE、网络切片的相关知识并撰写开题报告。</w:t>
                  </w:r>
                </w:p>
              </w:tc>
              <w:tc>
                <w:tcPr>
                  <w:tcW w:w="302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秋季学期16-17周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6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885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研读相关材料，研究分析基于FlexE的切片编排流程，理清FlexE切片编排的基本设计思路，建立基于FlexE的传送网切片编排问题模型。</w:t>
                  </w:r>
                </w:p>
              </w:tc>
              <w:tc>
                <w:tcPr>
                  <w:tcW w:w="302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春季学期第1-4周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6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885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对已经建立的网络切片编排的数学模型，研究设计一种启发式算法，用于解决在满足差异化租户需求的情况下，最小化资源分配的问题</w:t>
                  </w:r>
                  <w:r>
                    <w:rPr>
                      <w:sz w:val="18"/>
                      <w:szCs w:val="18"/>
                    </w:rPr>
                    <w:t>。</w:t>
                  </w:r>
                </w:p>
              </w:tc>
              <w:tc>
                <w:tcPr>
                  <w:tcW w:w="302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春季学期第5-8周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6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885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编程实现上述算法，搭建仿真环境，设计评价指标，对设计实现的切片编排算法进行比较和评估。</w:t>
                  </w:r>
                </w:p>
              </w:tc>
              <w:tc>
                <w:tcPr>
                  <w:tcW w:w="302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春季学期第9-13周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6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885" w:type="dxa"/>
                </w:tcPr>
                <w:p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论文撰写阶段，</w:t>
                  </w:r>
                  <w:r>
                    <w:rPr>
                      <w:sz w:val="18"/>
                      <w:szCs w:val="18"/>
                    </w:rPr>
                    <w:t>在已有的理论，实现和实验的基础之上</w:t>
                  </w:r>
                  <w:r>
                    <w:rPr>
                      <w:rFonts w:hint="eastAsia"/>
                      <w:sz w:val="18"/>
                      <w:szCs w:val="18"/>
                    </w:rPr>
                    <w:t>撰写</w:t>
                  </w:r>
                  <w:r>
                    <w:rPr>
                      <w:sz w:val="18"/>
                      <w:szCs w:val="18"/>
                    </w:rPr>
                    <w:t>论文</w:t>
                  </w:r>
                  <w:r>
                    <w:rPr>
                      <w:rFonts w:hint="eastAsia"/>
                      <w:sz w:val="18"/>
                      <w:szCs w:val="18"/>
                    </w:rPr>
                    <w:t>，并为之后的答辩做准备</w:t>
                  </w:r>
                  <w:r>
                    <w:rPr>
                      <w:sz w:val="18"/>
                      <w:szCs w:val="18"/>
                    </w:rPr>
                    <w:t>。</w:t>
                  </w:r>
                </w:p>
              </w:tc>
              <w:tc>
                <w:tcPr>
                  <w:tcW w:w="3021" w:type="dxa"/>
                </w:tcPr>
                <w:p>
                  <w:pPr>
                    <w:spacing w:line="360" w:lineRule="auto"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</w:rPr>
                    <w:t>春季学期第14-15周</w:t>
                  </w:r>
                </w:p>
              </w:tc>
            </w:tr>
          </w:tbl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【输出结果】</w:t>
            </w:r>
          </w:p>
          <w:p>
            <w:pPr>
              <w:spacing w:line="360" w:lineRule="auto"/>
            </w:pPr>
            <w:r>
              <w:t>1）</w:t>
            </w:r>
            <w:r>
              <w:rPr>
                <w:rFonts w:hint="eastAsia"/>
              </w:rPr>
              <w:t>网络切片编排的数学模型；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2）最小化网络切片资源分配的启发式算法</w:t>
            </w:r>
            <w:r>
              <w:t>的设计与实现；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）仿真环境的设计与搭建；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）基于评价指标的算法仿真结果和性能分析。</w:t>
            </w:r>
          </w:p>
          <w:p>
            <w:pPr>
              <w:spacing w:line="360" w:lineRule="auto"/>
            </w:pPr>
            <w:r>
              <w:rPr>
                <w:rFonts w:hint="eastAsia" w:ascii="宋体" w:hAnsi="宋体" w:cs="宋体"/>
                <w:szCs w:val="21"/>
              </w:rPr>
              <w:t>【主要参考文献】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[1]Muhammad Rehan Raza,Matteo Fiorani,Ahmad Rostami,Peter ？hlen,Lena Wosinska,Paolo Monti. Dynamic Slicing Approach for Multi-Tenant 5G Transport Networks [Invited][J]. Journal of Optical Communications and Networking,2018,10(1).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[2]R. Vilalta et al., “Network Slicing Using Dynamic Flex Ethernet over Transport Networks,“ 2017 European Conference on Optical Communication (ECOC)[J], 2017, pp. 1-3, doi: 10.1109/ECOC.2017.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[3]K. Katsalis, L. Gatzikis and K. Samdanis, “Towards Slicing for Transport Networks: The Case of Flex-Ethernet in 5G,“ 2018 IEEE Conference on Standards for Communications and Networking (CSCN)[J], 2018, pp. 1-7, doi: 10.1109/CSCN.2018.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[4]Samier Barguil et al. “Packet Optical Transport Network Slicing with Hard and Soft Isolation” Applied Sciences 11 [J]，2021: 6219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[5]P. Alemany et al., “Experimental Validation of Network Slicing Management for Vertical Applications on Multimedia Real-Time Communications over a Packet/Optical Network,“ 2019 21st International Conference on Transparent Optical Networks (ICTON)[J], 2019, pp. 1-4, doi: 10.1109/ICTON.2019.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[6]G.8310(ITU-T)，G.mtn-arch[S].ITU-T Study Group 15，2020.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[7]IA OIF-FLEXE-02.0，Flex Ethernet 2.0 Implementation Agreement[S].OIF，2018.</w:t>
            </w:r>
          </w:p>
          <w:p>
            <w:pPr>
              <w:numPr>
                <w:ilvl w:val="0"/>
                <w:numId w:val="0"/>
              </w:numPr>
              <w:spacing w:line="360" w:lineRule="atLeas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[8]Technical Vision of Slicing Packet Network(SPN)for 5G Transport[R].Beijing：China Mobile，2018.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5235" w:type="dxa"/>
            <w:gridSpan w:val="4"/>
            <w:vAlign w:val="center"/>
          </w:tcPr>
          <w:p>
            <w:pPr>
              <w:spacing w:line="480" w:lineRule="auto"/>
              <w:jc w:val="left"/>
            </w:pPr>
            <w:r>
              <w:rPr>
                <w:rFonts w:hint="eastAsia"/>
              </w:rPr>
              <w:t>允许</w:t>
            </w:r>
            <w:r>
              <w:t>进入论文撰写环节</w:t>
            </w:r>
            <w:r>
              <w:rPr>
                <w:rFonts w:hint="eastAsia"/>
              </w:rPr>
              <w:t>：</w:t>
            </w:r>
            <w: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否 </w:t>
            </w:r>
            <w:r>
              <w:rPr>
                <w:rFonts w:hint="eastAsia"/>
                <w:sz w:val="30"/>
                <w:szCs w:val="30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指导教师</w:t>
            </w:r>
            <w:r>
              <w:t>签字</w:t>
            </w:r>
          </w:p>
        </w:tc>
        <w:tc>
          <w:tcPr>
            <w:tcW w:w="2919" w:type="dxa"/>
            <w:gridSpan w:val="3"/>
            <w:vMerge w:val="restart"/>
            <w:vAlign w:val="center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7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157" w:type="dxa"/>
            <w:gridSpan w:val="3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2021年   12月   16日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2919" w:type="dxa"/>
            <w:gridSpan w:val="3"/>
            <w:vMerge w:val="continue"/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rPr>
          <w:rFonts w:ascii="宋体" w:hAnsi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7"/>
    <w:rsid w:val="000D701E"/>
    <w:rsid w:val="001F550B"/>
    <w:rsid w:val="00427B63"/>
    <w:rsid w:val="00686ACD"/>
    <w:rsid w:val="008E57A1"/>
    <w:rsid w:val="00E30E17"/>
    <w:rsid w:val="00EF0F8B"/>
    <w:rsid w:val="01426AE8"/>
    <w:rsid w:val="02F56D74"/>
    <w:rsid w:val="03C1490A"/>
    <w:rsid w:val="03D06208"/>
    <w:rsid w:val="05583173"/>
    <w:rsid w:val="056F3AA0"/>
    <w:rsid w:val="063378D9"/>
    <w:rsid w:val="09F47B7D"/>
    <w:rsid w:val="0A3E36F7"/>
    <w:rsid w:val="0A4E48C9"/>
    <w:rsid w:val="0B1E4153"/>
    <w:rsid w:val="0BC70A26"/>
    <w:rsid w:val="0BCA0EDA"/>
    <w:rsid w:val="0D431224"/>
    <w:rsid w:val="0D9A6441"/>
    <w:rsid w:val="0DCB0AAA"/>
    <w:rsid w:val="0E553E22"/>
    <w:rsid w:val="155500FD"/>
    <w:rsid w:val="15603DFF"/>
    <w:rsid w:val="15F9576A"/>
    <w:rsid w:val="170D3B32"/>
    <w:rsid w:val="175D7B3D"/>
    <w:rsid w:val="1A38724B"/>
    <w:rsid w:val="1BC3591D"/>
    <w:rsid w:val="1CB755EE"/>
    <w:rsid w:val="1CEA7762"/>
    <w:rsid w:val="1FB042F7"/>
    <w:rsid w:val="2268710B"/>
    <w:rsid w:val="26B406EC"/>
    <w:rsid w:val="27B153F8"/>
    <w:rsid w:val="29620A37"/>
    <w:rsid w:val="29F508EA"/>
    <w:rsid w:val="2C022FC3"/>
    <w:rsid w:val="2CD51841"/>
    <w:rsid w:val="2E6B215A"/>
    <w:rsid w:val="2FC31E25"/>
    <w:rsid w:val="2FDF79F5"/>
    <w:rsid w:val="2FF3779B"/>
    <w:rsid w:val="2FFD20B4"/>
    <w:rsid w:val="32686974"/>
    <w:rsid w:val="34DB4661"/>
    <w:rsid w:val="36AE1AEF"/>
    <w:rsid w:val="37B54591"/>
    <w:rsid w:val="3991662D"/>
    <w:rsid w:val="39CA2BC5"/>
    <w:rsid w:val="39F921EC"/>
    <w:rsid w:val="3A1759F2"/>
    <w:rsid w:val="3B247C1B"/>
    <w:rsid w:val="3B312338"/>
    <w:rsid w:val="3CF1616A"/>
    <w:rsid w:val="3D0A1093"/>
    <w:rsid w:val="3DC374E4"/>
    <w:rsid w:val="3E2966F2"/>
    <w:rsid w:val="3E506CB3"/>
    <w:rsid w:val="3E530817"/>
    <w:rsid w:val="3F536D21"/>
    <w:rsid w:val="40425DD1"/>
    <w:rsid w:val="41801923"/>
    <w:rsid w:val="431D2D1C"/>
    <w:rsid w:val="433753F8"/>
    <w:rsid w:val="449D5272"/>
    <w:rsid w:val="46203D9D"/>
    <w:rsid w:val="47571378"/>
    <w:rsid w:val="477A306A"/>
    <w:rsid w:val="48E11FE9"/>
    <w:rsid w:val="4AE36042"/>
    <w:rsid w:val="4B0F3BC9"/>
    <w:rsid w:val="4BEC1A67"/>
    <w:rsid w:val="4C996DA4"/>
    <w:rsid w:val="4D550108"/>
    <w:rsid w:val="4DEB6742"/>
    <w:rsid w:val="502C7E07"/>
    <w:rsid w:val="516073C5"/>
    <w:rsid w:val="519536FE"/>
    <w:rsid w:val="51AA0A09"/>
    <w:rsid w:val="51EA095B"/>
    <w:rsid w:val="52122A39"/>
    <w:rsid w:val="52E63EC5"/>
    <w:rsid w:val="555D2A09"/>
    <w:rsid w:val="5768699D"/>
    <w:rsid w:val="5B4672E2"/>
    <w:rsid w:val="5BB95D06"/>
    <w:rsid w:val="5BD420AE"/>
    <w:rsid w:val="5D7B7514"/>
    <w:rsid w:val="609E6358"/>
    <w:rsid w:val="61BD0917"/>
    <w:rsid w:val="6538165E"/>
    <w:rsid w:val="658702BA"/>
    <w:rsid w:val="65A77661"/>
    <w:rsid w:val="664265C2"/>
    <w:rsid w:val="69191363"/>
    <w:rsid w:val="6A152CA1"/>
    <w:rsid w:val="6A3A789C"/>
    <w:rsid w:val="6E431211"/>
    <w:rsid w:val="6F745814"/>
    <w:rsid w:val="70640E38"/>
    <w:rsid w:val="707967FB"/>
    <w:rsid w:val="70DD6A60"/>
    <w:rsid w:val="71335714"/>
    <w:rsid w:val="713C4FB8"/>
    <w:rsid w:val="721D6DF3"/>
    <w:rsid w:val="76CE66B2"/>
    <w:rsid w:val="780530B7"/>
    <w:rsid w:val="78462278"/>
    <w:rsid w:val="79DF1136"/>
    <w:rsid w:val="7B666459"/>
    <w:rsid w:val="7BFD5343"/>
    <w:rsid w:val="7D02710D"/>
    <w:rsid w:val="7D1F357E"/>
    <w:rsid w:val="7DB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200" w:firstLineChars="200"/>
      <w:outlineLvl w:val="1"/>
    </w:pPr>
    <w:rPr>
      <w:rFonts w:ascii="Arial" w:hAnsi="Arial"/>
      <w:b/>
      <w:bCs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2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annotation subject"/>
    <w:basedOn w:val="3"/>
    <w:next w:val="3"/>
    <w:link w:val="11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1">
    <w:name w:val="批注主题 字符"/>
    <w:basedOn w:val="10"/>
    <w:link w:val="5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2">
    <w:name w:val="批注框文本 字符"/>
    <w:basedOn w:val="8"/>
    <w:link w:val="4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北京邮电大学</Company>
  <Pages>4</Pages>
  <Words>787</Words>
  <Characters>4489</Characters>
  <Lines>37</Lines>
  <Paragraphs>10</Paragraphs>
  <TotalTime>194</TotalTime>
  <ScaleCrop>false</ScaleCrop>
  <LinksUpToDate>false</LinksUpToDate>
  <CharactersWithSpaces>5266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2019-03-08T09:11:00Z</dcterms:created>
  <dc:creator>li</dc:creator>
  <cp:lastModifiedBy>啊星</cp:lastModifiedBy>
  <dcterms:modified xsi:type="dcterms:W3CDTF">2022-01-02T10:37:15Z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59780C5AE2F341648F25D0BCFAFAD658</vt:lpwstr>
  </property>
</Properties>
</file>