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北 京 邮 电 大 学</w:t>
      </w:r>
      <w:bookmarkStart w:id="0" w:name="_Toc108584823"/>
    </w:p>
    <w:p>
      <w:pPr>
        <w:jc w:val="center"/>
        <w:rPr>
          <w:b/>
          <w:sz w:val="30"/>
          <w:szCs w:val="30"/>
        </w:rPr>
      </w:pPr>
      <w:r>
        <w:rPr>
          <w:rFonts w:hint="eastAsia"/>
          <w:b/>
          <w:sz w:val="30"/>
          <w:szCs w:val="30"/>
        </w:rPr>
        <w:t>本科毕业设计（论文）开题报告</w:t>
      </w:r>
      <w:bookmarkEnd w:id="0"/>
    </w:p>
    <w:tbl>
      <w:tblPr>
        <w:tblStyle w:val="3"/>
        <w:tblpPr w:leftFromText="180" w:rightFromText="180" w:vertAnchor="text" w:horzAnchor="margin" w:tblpY="158"/>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78"/>
        <w:gridCol w:w="1630"/>
        <w:gridCol w:w="1080"/>
        <w:gridCol w:w="447"/>
        <w:gridCol w:w="1134"/>
        <w:gridCol w:w="579"/>
        <w:gridCol w:w="1080"/>
        <w:gridCol w:w="12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3" w:hRule="atLeast"/>
        </w:trPr>
        <w:tc>
          <w:tcPr>
            <w:tcW w:w="2078" w:type="dxa"/>
            <w:vAlign w:val="center"/>
          </w:tcPr>
          <w:p>
            <w:pPr>
              <w:jc w:val="center"/>
            </w:pPr>
            <w:r>
              <w:rPr>
                <w:rFonts w:hint="eastAsia"/>
              </w:rPr>
              <w:t>学院</w:t>
            </w:r>
          </w:p>
        </w:tc>
        <w:tc>
          <w:tcPr>
            <w:tcW w:w="1630" w:type="dxa"/>
            <w:vAlign w:val="center"/>
          </w:tcPr>
          <w:p>
            <w:pPr>
              <w:jc w:val="center"/>
              <w:rPr>
                <w:rFonts w:hint="default" w:eastAsia="宋体"/>
                <w:lang w:val="en-US" w:eastAsia="zh-CN"/>
              </w:rPr>
            </w:pPr>
            <w:r>
              <w:rPr>
                <w:rFonts w:hint="eastAsia"/>
                <w:lang w:val="en-US" w:eastAsia="zh-CN"/>
              </w:rPr>
              <w:t>电子工程学院</w:t>
            </w:r>
          </w:p>
        </w:tc>
        <w:tc>
          <w:tcPr>
            <w:tcW w:w="1080" w:type="dxa"/>
            <w:vAlign w:val="center"/>
          </w:tcPr>
          <w:p>
            <w:pPr>
              <w:ind w:left="17"/>
              <w:jc w:val="center"/>
            </w:pPr>
            <w:r>
              <w:rPr>
                <w:rFonts w:hint="eastAsia"/>
              </w:rPr>
              <w:t>专业</w:t>
            </w:r>
          </w:p>
        </w:tc>
        <w:tc>
          <w:tcPr>
            <w:tcW w:w="2160" w:type="dxa"/>
            <w:gridSpan w:val="3"/>
            <w:vAlign w:val="center"/>
          </w:tcPr>
          <w:p>
            <w:pPr>
              <w:jc w:val="center"/>
              <w:rPr>
                <w:rFonts w:hint="default" w:eastAsia="宋体"/>
                <w:lang w:val="en-US" w:eastAsia="zh-CN"/>
              </w:rPr>
            </w:pPr>
            <w:r>
              <w:rPr>
                <w:rFonts w:hint="eastAsia"/>
                <w:lang w:val="en-US" w:eastAsia="zh-CN"/>
              </w:rPr>
              <w:t>电子科学与技术</w:t>
            </w:r>
          </w:p>
        </w:tc>
        <w:tc>
          <w:tcPr>
            <w:tcW w:w="1080" w:type="dxa"/>
            <w:vAlign w:val="center"/>
          </w:tcPr>
          <w:p>
            <w:pPr>
              <w:jc w:val="center"/>
            </w:pPr>
            <w:r>
              <w:rPr>
                <w:rFonts w:hint="eastAsia"/>
              </w:rPr>
              <w:t>班级</w:t>
            </w:r>
          </w:p>
        </w:tc>
        <w:tc>
          <w:tcPr>
            <w:tcW w:w="1260" w:type="dxa"/>
            <w:vAlign w:val="center"/>
          </w:tcPr>
          <w:p>
            <w:pPr>
              <w:jc w:val="center"/>
              <w:rPr>
                <w:rFonts w:hint="default" w:eastAsia="宋体"/>
                <w:lang w:val="en-US" w:eastAsia="zh-CN"/>
              </w:rPr>
            </w:pPr>
            <w:r>
              <w:rPr>
                <w:rFonts w:hint="eastAsia"/>
                <w:lang w:val="en-US" w:eastAsia="zh-CN"/>
              </w:rPr>
              <w:t>2018211205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70" w:hRule="atLeast"/>
        </w:trPr>
        <w:tc>
          <w:tcPr>
            <w:tcW w:w="2078" w:type="dxa"/>
            <w:vAlign w:val="center"/>
          </w:tcPr>
          <w:p>
            <w:pPr>
              <w:spacing w:line="360" w:lineRule="auto"/>
              <w:jc w:val="center"/>
            </w:pPr>
            <w:r>
              <w:rPr>
                <w:rFonts w:hint="eastAsia"/>
              </w:rPr>
              <w:t>学生姓名</w:t>
            </w:r>
          </w:p>
        </w:tc>
        <w:tc>
          <w:tcPr>
            <w:tcW w:w="1630" w:type="dxa"/>
            <w:vAlign w:val="center"/>
          </w:tcPr>
          <w:p>
            <w:pPr>
              <w:spacing w:line="360" w:lineRule="auto"/>
              <w:jc w:val="center"/>
              <w:rPr>
                <w:rFonts w:hint="eastAsia" w:eastAsia="宋体"/>
                <w:lang w:val="en-US" w:eastAsia="zh-CN"/>
              </w:rPr>
            </w:pPr>
            <w:r>
              <w:rPr>
                <w:rFonts w:hint="eastAsia"/>
                <w:lang w:val="en-US" w:eastAsia="zh-CN"/>
              </w:rPr>
              <w:t>蔡俊儒</w:t>
            </w:r>
          </w:p>
        </w:tc>
        <w:tc>
          <w:tcPr>
            <w:tcW w:w="1080" w:type="dxa"/>
            <w:vAlign w:val="center"/>
          </w:tcPr>
          <w:p>
            <w:pPr>
              <w:spacing w:line="360" w:lineRule="auto"/>
              <w:jc w:val="center"/>
            </w:pPr>
            <w:r>
              <w:rPr>
                <w:rFonts w:hint="eastAsia"/>
              </w:rPr>
              <w:t>学号</w:t>
            </w:r>
          </w:p>
        </w:tc>
        <w:tc>
          <w:tcPr>
            <w:tcW w:w="2160" w:type="dxa"/>
            <w:gridSpan w:val="3"/>
            <w:vAlign w:val="center"/>
          </w:tcPr>
          <w:p>
            <w:pPr>
              <w:spacing w:line="360" w:lineRule="auto"/>
              <w:ind w:left="30"/>
              <w:jc w:val="center"/>
              <w:rPr>
                <w:rFonts w:hint="default" w:eastAsia="宋体"/>
                <w:lang w:val="en-US" w:eastAsia="zh-CN"/>
              </w:rPr>
            </w:pPr>
            <w:r>
              <w:rPr>
                <w:rFonts w:hint="eastAsia"/>
                <w:lang w:val="en-US" w:eastAsia="zh-CN"/>
              </w:rPr>
              <w:t>2018210918</w:t>
            </w:r>
          </w:p>
        </w:tc>
        <w:tc>
          <w:tcPr>
            <w:tcW w:w="1080" w:type="dxa"/>
            <w:vAlign w:val="center"/>
          </w:tcPr>
          <w:p>
            <w:pPr>
              <w:spacing w:line="360" w:lineRule="auto"/>
              <w:jc w:val="center"/>
            </w:pPr>
            <w:r>
              <w:rPr>
                <w:rFonts w:hint="eastAsia"/>
              </w:rPr>
              <w:t>班内序号</w:t>
            </w:r>
          </w:p>
        </w:tc>
        <w:tc>
          <w:tcPr>
            <w:tcW w:w="1260" w:type="dxa"/>
            <w:vAlign w:val="center"/>
          </w:tcPr>
          <w:p>
            <w:pPr>
              <w:spacing w:line="360" w:lineRule="auto"/>
              <w:jc w:val="center"/>
              <w:rPr>
                <w:rFonts w:hint="default" w:eastAsia="宋体"/>
                <w:lang w:val="en-US" w:eastAsia="zh-CN"/>
              </w:rPr>
            </w:pPr>
            <w:r>
              <w:rPr>
                <w:rFonts w:hint="eastAsia"/>
                <w:lang w:val="en-US" w:eastAsia="zh-CN"/>
              </w:rPr>
              <w:t>11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70" w:hRule="atLeast"/>
        </w:trPr>
        <w:tc>
          <w:tcPr>
            <w:tcW w:w="2078" w:type="dxa"/>
            <w:vAlign w:val="center"/>
          </w:tcPr>
          <w:p>
            <w:pPr>
              <w:spacing w:line="360" w:lineRule="auto"/>
              <w:jc w:val="center"/>
            </w:pPr>
            <w:r>
              <w:rPr>
                <w:rFonts w:hint="eastAsia"/>
              </w:rPr>
              <w:t>指导教师姓名</w:t>
            </w:r>
          </w:p>
        </w:tc>
        <w:tc>
          <w:tcPr>
            <w:tcW w:w="1630" w:type="dxa"/>
            <w:vAlign w:val="center"/>
          </w:tcPr>
          <w:p>
            <w:pPr>
              <w:spacing w:line="360" w:lineRule="auto"/>
              <w:jc w:val="center"/>
              <w:rPr>
                <w:rFonts w:hint="eastAsia" w:eastAsia="宋体"/>
                <w:lang w:val="en-US" w:eastAsia="zh-CN"/>
              </w:rPr>
            </w:pPr>
            <w:r>
              <w:rPr>
                <w:rFonts w:hint="eastAsia"/>
                <w:lang w:val="en-US" w:eastAsia="zh-CN"/>
              </w:rPr>
              <w:t>王颖</w:t>
            </w:r>
          </w:p>
        </w:tc>
        <w:tc>
          <w:tcPr>
            <w:tcW w:w="1080" w:type="dxa"/>
            <w:vAlign w:val="center"/>
          </w:tcPr>
          <w:p>
            <w:pPr>
              <w:spacing w:line="360" w:lineRule="auto"/>
              <w:jc w:val="center"/>
            </w:pPr>
            <w:r>
              <w:rPr>
                <w:rFonts w:hint="eastAsia"/>
              </w:rPr>
              <w:t>所在单位</w:t>
            </w:r>
          </w:p>
        </w:tc>
        <w:tc>
          <w:tcPr>
            <w:tcW w:w="2160" w:type="dxa"/>
            <w:gridSpan w:val="3"/>
            <w:vAlign w:val="center"/>
          </w:tcPr>
          <w:p>
            <w:pPr>
              <w:spacing w:line="360" w:lineRule="auto"/>
              <w:jc w:val="center"/>
            </w:pPr>
            <w:r>
              <w:rPr>
                <w:rFonts w:hint="eastAsia"/>
              </w:rPr>
              <w:t>计算机学院（国家示范性软件学院）</w:t>
            </w:r>
          </w:p>
        </w:tc>
        <w:tc>
          <w:tcPr>
            <w:tcW w:w="1080" w:type="dxa"/>
            <w:vAlign w:val="center"/>
          </w:tcPr>
          <w:p>
            <w:pPr>
              <w:spacing w:line="360" w:lineRule="auto"/>
              <w:jc w:val="center"/>
            </w:pPr>
            <w:r>
              <w:rPr>
                <w:rFonts w:hint="eastAsia"/>
              </w:rPr>
              <w:t>职称</w:t>
            </w:r>
          </w:p>
        </w:tc>
        <w:tc>
          <w:tcPr>
            <w:tcW w:w="1260" w:type="dxa"/>
            <w:vAlign w:val="center"/>
          </w:tcPr>
          <w:p>
            <w:pPr>
              <w:spacing w:line="360" w:lineRule="auto"/>
              <w:jc w:val="center"/>
              <w:rPr>
                <w:rFonts w:hint="eastAsia" w:eastAsia="宋体"/>
                <w:lang w:val="en-US" w:eastAsia="zh-CN"/>
              </w:rPr>
            </w:pPr>
            <w:r>
              <w:rPr>
                <w:rFonts w:hint="eastAsia"/>
                <w:lang w:val="en-US" w:eastAsia="zh-CN"/>
              </w:rPr>
              <w:t>副教授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55" w:hRule="atLeast"/>
        </w:trPr>
        <w:tc>
          <w:tcPr>
            <w:tcW w:w="2078" w:type="dxa"/>
            <w:vMerge w:val="restart"/>
            <w:vAlign w:val="center"/>
          </w:tcPr>
          <w:p>
            <w:pPr>
              <w:spacing w:line="360" w:lineRule="auto"/>
              <w:jc w:val="center"/>
            </w:pPr>
            <w:r>
              <w:rPr>
                <w:rFonts w:hint="eastAsia"/>
              </w:rPr>
              <w:t>设计（论文）题目</w:t>
            </w:r>
          </w:p>
        </w:tc>
        <w:tc>
          <w:tcPr>
            <w:tcW w:w="7210" w:type="dxa"/>
            <w:gridSpan w:val="7"/>
            <w:vAlign w:val="center"/>
          </w:tcPr>
          <w:p>
            <w:pPr>
              <w:spacing w:line="360" w:lineRule="auto"/>
              <w:ind w:left="30"/>
              <w:rPr>
                <w:sz w:val="18"/>
                <w:szCs w:val="18"/>
              </w:rPr>
            </w:pPr>
            <w:r>
              <w:rPr>
                <w:rFonts w:hint="eastAsia"/>
                <w:sz w:val="18"/>
                <w:szCs w:val="18"/>
              </w:rPr>
              <w:t>（中文）基于FlexE的传送网切片编排方法的设计与实现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55" w:hRule="atLeast"/>
        </w:trPr>
        <w:tc>
          <w:tcPr>
            <w:tcW w:w="2078" w:type="dxa"/>
            <w:vMerge w:val="continue"/>
            <w:vAlign w:val="center"/>
          </w:tcPr>
          <w:p>
            <w:pPr>
              <w:spacing w:line="360" w:lineRule="auto"/>
              <w:jc w:val="center"/>
            </w:pPr>
          </w:p>
        </w:tc>
        <w:tc>
          <w:tcPr>
            <w:tcW w:w="7210" w:type="dxa"/>
            <w:gridSpan w:val="7"/>
            <w:vAlign w:val="center"/>
          </w:tcPr>
          <w:p>
            <w:pPr>
              <w:spacing w:line="360" w:lineRule="auto"/>
              <w:ind w:left="30"/>
              <w:rPr>
                <w:sz w:val="18"/>
                <w:szCs w:val="18"/>
              </w:rPr>
            </w:pPr>
            <w:r>
              <w:rPr>
                <w:rFonts w:hint="eastAsia"/>
                <w:sz w:val="18"/>
                <w:szCs w:val="18"/>
              </w:rPr>
              <w:t>（英文）</w:t>
            </w:r>
            <w:bookmarkStart w:id="1" w:name="OLE_LINK1"/>
            <w:r>
              <w:rPr>
                <w:rFonts w:hint="eastAsia"/>
                <w:sz w:val="18"/>
                <w:szCs w:val="18"/>
              </w:rPr>
              <w:t>Design and implementation of orchestration method of transport network slice based on FlexE</w:t>
            </w:r>
            <w:bookmarkEnd w:id="1"/>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877" w:hRule="atLeast"/>
        </w:trPr>
        <w:tc>
          <w:tcPr>
            <w:tcW w:w="9288" w:type="dxa"/>
            <w:gridSpan w:val="8"/>
            <w:tcBorders>
              <w:top w:val="single" w:color="auto" w:sz="4" w:space="0"/>
            </w:tcBorders>
          </w:tcPr>
          <w:p>
            <w:pPr>
              <w:spacing w:line="360" w:lineRule="auto"/>
              <w:rPr>
                <w:rFonts w:hint="eastAsia"/>
              </w:rPr>
            </w:pPr>
            <w:r>
              <w:rPr>
                <w:rFonts w:hint="eastAsia"/>
              </w:rPr>
              <w:t>毕业设计（论文）开题报告内容：</w:t>
            </w:r>
          </w:p>
          <w:p>
            <w:pPr>
              <w:spacing w:line="360" w:lineRule="auto"/>
              <w:rPr>
                <w:rFonts w:hint="eastAsia"/>
              </w:rPr>
            </w:pPr>
            <w:r>
              <w:rPr>
                <w:rFonts w:hint="eastAsia" w:ascii="宋体" w:hAnsi="宋体" w:cs="宋体"/>
                <w:szCs w:val="21"/>
              </w:rPr>
              <w:t>【选题背景和意义】</w:t>
            </w:r>
          </w:p>
          <w:p>
            <w:pPr>
              <w:widowControl/>
              <w:autoSpaceDE w:val="0"/>
              <w:autoSpaceDN w:val="0"/>
              <w:adjustRightInd w:val="0"/>
              <w:spacing w:line="360" w:lineRule="auto"/>
              <w:ind w:firstLine="420" w:firstLineChars="200"/>
              <w:jc w:val="left"/>
              <w:rPr>
                <w:rFonts w:hint="eastAsia"/>
                <w:sz w:val="21"/>
                <w:szCs w:val="21"/>
                <w:lang w:eastAsia="zh-CN"/>
              </w:rPr>
            </w:pPr>
            <w:r>
              <w:rPr>
                <w:rFonts w:hint="eastAsia"/>
                <w:sz w:val="21"/>
                <w:szCs w:val="21"/>
              </w:rPr>
              <w:t>柔性以太网(Flexible Ethernet, FlexE)是由国际标准组织光互联网论坛(Optical Internetworking Forum, OIF）主导的一种</w:t>
            </w:r>
            <w:r>
              <w:rPr>
                <w:rFonts w:hint="eastAsia"/>
                <w:sz w:val="21"/>
                <w:szCs w:val="21"/>
                <w:lang w:val="en-US" w:eastAsia="zh-CN"/>
              </w:rPr>
              <w:t>新兴网络传输</w:t>
            </w:r>
            <w:r>
              <w:rPr>
                <w:rFonts w:hint="eastAsia"/>
                <w:sz w:val="21"/>
                <w:szCs w:val="21"/>
              </w:rPr>
              <w:t>技术，</w:t>
            </w:r>
            <w:r>
              <w:rPr>
                <w:rFonts w:hint="eastAsia"/>
                <w:sz w:val="21"/>
                <w:szCs w:val="21"/>
                <w:lang w:val="en-US" w:eastAsia="zh-CN"/>
              </w:rPr>
              <w:t>有望在网络资源虚拟化方面迅速得到应用。FlexE技术</w:t>
            </w:r>
            <w:r>
              <w:rPr>
                <w:rFonts w:hint="eastAsia"/>
                <w:sz w:val="21"/>
                <w:szCs w:val="21"/>
              </w:rPr>
              <w:t>通过在MAC层与PCS层中新增 FlexShim 层，实现网络灵活性、多速率、刚性接口等特性。其捆绑、通道化、子速率等功能，可以与 IP/Ethernet 技术良好对接，提供了基于以太网物理接口的切片隔离机制，在承载移动业务、数据中心互联等方面有广阔的应用前景。</w:t>
            </w:r>
            <w:r>
              <w:rPr>
                <w:rFonts w:hint="eastAsia"/>
                <w:sz w:val="21"/>
                <w:szCs w:val="21"/>
                <w:lang w:val="en-US" w:eastAsia="zh-CN"/>
              </w:rPr>
              <w:t>而</w:t>
            </w:r>
            <w:r>
              <w:rPr>
                <w:rFonts w:hint="eastAsia"/>
                <w:sz w:val="21"/>
                <w:szCs w:val="21"/>
              </w:rPr>
              <w:t>网络切片是</w:t>
            </w:r>
            <w:r>
              <w:rPr>
                <w:rFonts w:hint="eastAsia"/>
                <w:sz w:val="21"/>
                <w:szCs w:val="21"/>
                <w:lang w:val="en-US" w:eastAsia="zh-CN"/>
              </w:rPr>
              <w:t>指</w:t>
            </w:r>
            <w:r>
              <w:rPr>
                <w:rFonts w:hint="eastAsia"/>
                <w:sz w:val="21"/>
                <w:szCs w:val="21"/>
              </w:rPr>
              <w:t>一种按需组网的方式，可以让运营商在统一的基础设施上切出多个虚拟的端到端网络</w:t>
            </w:r>
            <w:r>
              <w:rPr>
                <w:rFonts w:hint="eastAsia"/>
                <w:sz w:val="21"/>
                <w:szCs w:val="21"/>
                <w:lang w:eastAsia="zh-CN"/>
              </w:rPr>
              <w:t>，每个网络切片在转发面、控制面、管理面上实现逻辑隔离，适配各种类型服务并满足用户的不同需求。</w:t>
            </w:r>
          </w:p>
          <w:p>
            <w:pPr>
              <w:widowControl/>
              <w:autoSpaceDE w:val="0"/>
              <w:autoSpaceDN w:val="0"/>
              <w:adjustRightInd w:val="0"/>
              <w:spacing w:line="360" w:lineRule="auto"/>
              <w:ind w:firstLine="420" w:firstLineChars="200"/>
              <w:jc w:val="left"/>
              <w:rPr>
                <w:rFonts w:hint="eastAsia"/>
                <w:sz w:val="21"/>
                <w:szCs w:val="21"/>
                <w:lang w:val="en-US" w:eastAsia="zh-CN"/>
              </w:rPr>
            </w:pPr>
            <w:r>
              <w:rPr>
                <w:rFonts w:hint="eastAsia"/>
                <w:sz w:val="21"/>
                <w:szCs w:val="21"/>
                <w:lang w:val="en-US" w:eastAsia="zh-CN"/>
              </w:rPr>
              <w:t>在最近的提议中，对基于FlexE的网络切片编排研究大多局限于满足用于承载所需FlexE流量的需求，仅计算必要的网络拓扑与隧道连接。在参考文献[2]中，FlexE网络切片编排通过使用IETF-TEAS模型，找到足够满足可用于承载所需的FlexE流量的可行路径。该文献的方案虽然能够满足客户的流量带宽需求，但是对网络切片的时延、可靠性、可扩展性等需求没有保障。</w:t>
            </w:r>
          </w:p>
          <w:p>
            <w:pPr>
              <w:widowControl/>
              <w:autoSpaceDE w:val="0"/>
              <w:autoSpaceDN w:val="0"/>
              <w:adjustRightInd w:val="0"/>
              <w:spacing w:line="360" w:lineRule="auto"/>
              <w:ind w:firstLine="420" w:firstLineChars="200"/>
              <w:jc w:val="left"/>
              <w:rPr>
                <w:rFonts w:hint="default"/>
                <w:sz w:val="21"/>
                <w:szCs w:val="21"/>
                <w:lang w:val="en-US" w:eastAsia="zh-CN"/>
              </w:rPr>
            </w:pPr>
            <w:r>
              <w:rPr>
                <w:rFonts w:hint="eastAsia"/>
                <w:sz w:val="21"/>
                <w:szCs w:val="21"/>
                <w:lang w:val="en-US" w:eastAsia="zh-CN"/>
              </w:rPr>
              <w:t>参考文献[3]提出了一种基于SDN的FlexE网络切片解决方案，将FlexE与覆盖网络集成在一起，以支持网络切片。该方案所提出的基于SDN的FlexE部署架构中，虽然指明了网络切片实例的服务编排需要考虑复杂拓扑结构的链路，并需要确保所需的SLA，但是没有深入研究出相关的切片编排算法。</w:t>
            </w:r>
          </w:p>
          <w:p>
            <w:pPr>
              <w:widowControl/>
              <w:autoSpaceDE w:val="0"/>
              <w:autoSpaceDN w:val="0"/>
              <w:adjustRightInd w:val="0"/>
              <w:spacing w:line="360" w:lineRule="auto"/>
              <w:ind w:firstLine="420" w:firstLineChars="200"/>
              <w:jc w:val="left"/>
              <w:rPr>
                <w:rFonts w:hint="eastAsia"/>
                <w:sz w:val="21"/>
                <w:szCs w:val="21"/>
              </w:rPr>
            </w:pPr>
            <w:r>
              <w:rPr>
                <w:rFonts w:hint="eastAsia"/>
                <w:sz w:val="21"/>
                <w:szCs w:val="21"/>
                <w:lang w:val="en-US" w:eastAsia="zh-CN"/>
              </w:rPr>
              <w:t>本课题是在上述背景下，基于FlexE网络切片开通流程、技术特点，针对典型租户业务需求，对基于FlexE的传输网络切片编排问题进行研究和建模，在此基础上设计一种启发式算法求解切片编排问题，从而引入智能编排功能，能够</w:t>
            </w:r>
            <w:r>
              <w:rPr>
                <w:rFonts w:hint="eastAsia"/>
                <w:sz w:val="21"/>
                <w:szCs w:val="21"/>
              </w:rPr>
              <w:t>在满足差异化的多租户需求的同时，提高基础设施网络的资源利用率。</w:t>
            </w:r>
          </w:p>
          <w:p>
            <w:pPr>
              <w:spacing w:line="360" w:lineRule="auto"/>
              <w:rPr>
                <w:rFonts w:hint="eastAsia" w:ascii="黑体" w:hAnsi="黑体" w:eastAsia="黑体"/>
                <w:sz w:val="28"/>
                <w:szCs w:val="28"/>
              </w:rPr>
            </w:pPr>
            <w:r>
              <w:rPr>
                <w:rFonts w:hint="eastAsia" w:ascii="宋体" w:hAnsi="宋体" w:cs="宋体"/>
                <w:szCs w:val="21"/>
              </w:rPr>
              <w:t>【</w:t>
            </w:r>
            <w:r>
              <w:rPr>
                <w:rFonts w:hint="eastAsia" w:ascii="宋体" w:hAnsi="宋体" w:cs="宋体"/>
                <w:szCs w:val="21"/>
                <w:lang w:val="en-US" w:eastAsia="zh-CN"/>
              </w:rPr>
              <w:t>研究基本内容和拟解决的主要问题</w:t>
            </w:r>
            <w:r>
              <w:rPr>
                <w:rFonts w:hint="eastAsia" w:ascii="宋体" w:hAnsi="宋体" w:cs="宋体"/>
                <w:szCs w:val="21"/>
              </w:rPr>
              <w:t>】</w:t>
            </w:r>
          </w:p>
          <w:p>
            <w:pPr>
              <w:widowControl/>
              <w:autoSpaceDE w:val="0"/>
              <w:autoSpaceDN w:val="0"/>
              <w:adjustRightInd w:val="0"/>
              <w:spacing w:line="360" w:lineRule="auto"/>
              <w:ind w:firstLine="420" w:firstLineChars="200"/>
              <w:jc w:val="left"/>
              <w:rPr>
                <w:rFonts w:hint="eastAsia"/>
                <w:sz w:val="21"/>
                <w:szCs w:val="21"/>
              </w:rPr>
            </w:pPr>
            <w:bookmarkStart w:id="2" w:name="_GoBack"/>
            <w:bookmarkEnd w:id="2"/>
            <w:r>
              <w:rPr>
                <w:rFonts w:hint="eastAsia"/>
                <w:sz w:val="21"/>
                <w:szCs w:val="21"/>
                <w:lang w:val="en-US" w:eastAsia="zh-CN"/>
              </w:rPr>
              <w:t>研究的基本内容包括分析基于FlexE的切片编排流程和技术特点，研究能够提高可用网络切片资源的利用率并满足用户的所有要求的调度机制，并建立基于FlexE的传送网切片编排问题模型；在已经建立的网络切片编排的数学模型基础之上，研究设计出一种相应的启发式算法求解切片编排问题，形成智能化的资源分配方案。该方案用于拟解决在满足差异化租户需求的情况下，最小化资源分配的问题。最后还需要编程实现上述算法，搭设计和建仿真环境，设计相应的评价指标，对设计实现的切片编排算法进行验证和评估。</w:t>
            </w:r>
          </w:p>
          <w:p>
            <w:pPr>
              <w:spacing w:line="360" w:lineRule="auto"/>
              <w:rPr>
                <w:rFonts w:hint="eastAsia"/>
                <w:sz w:val="21"/>
                <w:szCs w:val="21"/>
              </w:rPr>
            </w:pPr>
            <w:r>
              <w:rPr>
                <w:rFonts w:hint="eastAsia" w:ascii="宋体" w:hAnsi="宋体" w:cs="宋体"/>
                <w:szCs w:val="21"/>
              </w:rPr>
              <w:t>【</w:t>
            </w:r>
            <w:r>
              <w:rPr>
                <w:rFonts w:hint="eastAsia" w:ascii="宋体" w:hAnsi="宋体" w:cs="宋体"/>
                <w:szCs w:val="21"/>
                <w:lang w:val="en-US" w:eastAsia="zh-CN"/>
              </w:rPr>
              <w:t>研究方法及措施</w:t>
            </w:r>
            <w:r>
              <w:rPr>
                <w:rFonts w:hint="eastAsia" w:ascii="宋体" w:hAnsi="宋体" w:cs="宋体"/>
                <w:szCs w:val="21"/>
              </w:rPr>
              <w:t>】</w:t>
            </w:r>
          </w:p>
          <w:p>
            <w:pPr>
              <w:widowControl/>
              <w:autoSpaceDE w:val="0"/>
              <w:autoSpaceDN w:val="0"/>
              <w:adjustRightInd w:val="0"/>
              <w:spacing w:line="360" w:lineRule="auto"/>
              <w:ind w:firstLine="420" w:firstLineChars="200"/>
              <w:jc w:val="left"/>
              <w:rPr>
                <w:rFonts w:hint="eastAsia"/>
                <w:sz w:val="21"/>
                <w:szCs w:val="21"/>
                <w:lang w:eastAsia="zh-CN"/>
              </w:rPr>
            </w:pPr>
            <w:r>
              <w:rPr>
                <w:rFonts w:hint="eastAsia"/>
                <w:sz w:val="21"/>
                <w:szCs w:val="21"/>
                <w:lang w:val="en-US" w:eastAsia="zh-CN"/>
              </w:rPr>
              <w:t>通过阅读文献，学习FlexE的基础原理和数据交换过程，</w:t>
            </w:r>
            <w:r>
              <w:rPr>
                <w:rFonts w:hint="eastAsia"/>
                <w:sz w:val="21"/>
                <w:szCs w:val="21"/>
              </w:rPr>
              <w:t>分析基于FlexE的切片编排流程</w:t>
            </w:r>
            <w:r>
              <w:rPr>
                <w:rFonts w:hint="eastAsia"/>
                <w:sz w:val="21"/>
                <w:szCs w:val="21"/>
                <w:lang w:eastAsia="zh-CN"/>
              </w:rPr>
              <w:t>，</w:t>
            </w:r>
            <w:r>
              <w:rPr>
                <w:rFonts w:hint="eastAsia"/>
                <w:sz w:val="21"/>
                <w:szCs w:val="21"/>
                <w:lang w:val="en-US" w:eastAsia="zh-CN"/>
              </w:rPr>
              <w:t>调研能满足要求的切片编排算法，通过理解分析达到正确的应用。根据典型的租户需求，</w:t>
            </w:r>
            <w:r>
              <w:rPr>
                <w:rFonts w:hint="eastAsia"/>
                <w:sz w:val="21"/>
                <w:szCs w:val="21"/>
              </w:rPr>
              <w:t>建立基于FlexE的传送网切片编排问题模型</w:t>
            </w:r>
            <w:r>
              <w:rPr>
                <w:rFonts w:hint="eastAsia"/>
                <w:sz w:val="21"/>
                <w:szCs w:val="21"/>
                <w:lang w:eastAsia="zh-CN"/>
              </w:rPr>
              <w:t>。</w:t>
            </w:r>
            <w:r>
              <w:rPr>
                <w:rFonts w:hint="eastAsia"/>
                <w:sz w:val="21"/>
                <w:szCs w:val="21"/>
                <w:lang w:val="en-US" w:eastAsia="zh-CN"/>
              </w:rPr>
              <w:t>通过对已有的切片编排算法的学习和理解，研究</w:t>
            </w:r>
            <w:r>
              <w:rPr>
                <w:rFonts w:hint="eastAsia"/>
                <w:sz w:val="21"/>
                <w:szCs w:val="21"/>
              </w:rPr>
              <w:t>设计一种启发式算法</w:t>
            </w:r>
            <w:r>
              <w:rPr>
                <w:rFonts w:hint="eastAsia"/>
                <w:sz w:val="21"/>
                <w:szCs w:val="21"/>
                <w:lang w:val="en-US" w:eastAsia="zh-CN"/>
              </w:rPr>
              <w:t>应用至建立的模型中</w:t>
            </w:r>
            <w:r>
              <w:rPr>
                <w:rFonts w:hint="eastAsia"/>
                <w:sz w:val="21"/>
                <w:szCs w:val="21"/>
              </w:rPr>
              <w:t>，</w:t>
            </w:r>
            <w:r>
              <w:rPr>
                <w:rFonts w:hint="eastAsia"/>
                <w:sz w:val="21"/>
                <w:szCs w:val="21"/>
                <w:lang w:val="en-US" w:eastAsia="zh-CN"/>
              </w:rPr>
              <w:t>从而</w:t>
            </w:r>
            <w:r>
              <w:rPr>
                <w:rFonts w:hint="eastAsia"/>
                <w:sz w:val="21"/>
                <w:szCs w:val="21"/>
              </w:rPr>
              <w:t>解决在满足差异化租户需求的情况下，最小化资源分配的问题</w:t>
            </w:r>
            <w:r>
              <w:rPr>
                <w:rFonts w:hint="eastAsia"/>
                <w:sz w:val="21"/>
                <w:szCs w:val="21"/>
                <w:lang w:eastAsia="zh-CN"/>
              </w:rPr>
              <w:t>。</w:t>
            </w:r>
            <w:r>
              <w:rPr>
                <w:rFonts w:hint="eastAsia"/>
                <w:sz w:val="21"/>
                <w:szCs w:val="21"/>
                <w:lang w:val="en-US" w:eastAsia="zh-CN"/>
              </w:rPr>
              <w:t>最后</w:t>
            </w:r>
            <w:r>
              <w:rPr>
                <w:rFonts w:hint="eastAsia"/>
                <w:sz w:val="21"/>
                <w:szCs w:val="21"/>
              </w:rPr>
              <w:t>编程实现上述算法，搭建仿真环境，设计评价指标，对设计实现的切片编排算法进行比较和评估</w:t>
            </w:r>
            <w:r>
              <w:rPr>
                <w:rFonts w:hint="eastAsia"/>
                <w:sz w:val="21"/>
                <w:szCs w:val="21"/>
                <w:lang w:eastAsia="zh-CN"/>
              </w:rPr>
              <w:t>。</w:t>
            </w:r>
          </w:p>
          <w:p>
            <w:pPr>
              <w:spacing w:line="360" w:lineRule="auto"/>
              <w:rPr>
                <w:rFonts w:hint="eastAsia" w:ascii="宋体" w:hAnsi="宋体" w:cs="宋体"/>
                <w:szCs w:val="21"/>
              </w:rPr>
            </w:pPr>
            <w:r>
              <w:rPr>
                <w:rFonts w:hint="eastAsia" w:ascii="宋体" w:hAnsi="宋体" w:cs="宋体"/>
                <w:szCs w:val="21"/>
              </w:rPr>
              <w:t>【</w:t>
            </w:r>
            <w:r>
              <w:rPr>
                <w:rFonts w:hint="eastAsia" w:ascii="宋体" w:hAnsi="宋体" w:cs="宋体"/>
                <w:szCs w:val="21"/>
                <w:lang w:val="en-US" w:eastAsia="zh-CN"/>
              </w:rPr>
              <w:t>研究工作的步骤和进度</w:t>
            </w:r>
            <w:r>
              <w:rPr>
                <w:rFonts w:hint="eastAsia" w:ascii="宋体" w:hAnsi="宋体" w:cs="宋体"/>
                <w:szCs w:val="21"/>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56"/>
              <w:gridCol w:w="4885"/>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6"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1</w:t>
                  </w:r>
                </w:p>
              </w:tc>
              <w:tc>
                <w:tcPr>
                  <w:tcW w:w="4885" w:type="dxa"/>
                </w:tcPr>
                <w:p>
                  <w:pPr>
                    <w:spacing w:line="240" w:lineRule="auto"/>
                    <w:rPr>
                      <w:rFonts w:hint="eastAsia" w:ascii="宋体" w:hAnsi="宋体" w:cs="宋体"/>
                      <w:szCs w:val="21"/>
                      <w:vertAlign w:val="baseline"/>
                      <w:lang w:eastAsia="zh-CN"/>
                    </w:rPr>
                  </w:pPr>
                  <w:r>
                    <w:rPr>
                      <w:rFonts w:hint="eastAsia"/>
                      <w:sz w:val="18"/>
                      <w:szCs w:val="18"/>
                    </w:rPr>
                    <w:t>文献调研阶段，明确课题目标及具体内容，查阅研究领域相关材料，学习FlexE、网络切片的相关知识并撰写开题报告。</w:t>
                  </w:r>
                </w:p>
              </w:tc>
              <w:tc>
                <w:tcPr>
                  <w:tcW w:w="3021" w:type="dxa"/>
                </w:tcPr>
                <w:p>
                  <w:pPr>
                    <w:spacing w:line="360" w:lineRule="auto"/>
                    <w:rPr>
                      <w:rFonts w:hint="default" w:ascii="宋体" w:hAnsi="宋体" w:cs="宋体"/>
                      <w:szCs w:val="21"/>
                      <w:vertAlign w:val="baseline"/>
                      <w:lang w:val="en-US" w:eastAsia="zh-CN"/>
                    </w:rPr>
                  </w:pPr>
                  <w:r>
                    <w:rPr>
                      <w:rFonts w:hint="eastAsia" w:ascii="宋体" w:hAnsi="宋体" w:cs="宋体"/>
                      <w:sz w:val="18"/>
                      <w:szCs w:val="18"/>
                      <w:vertAlign w:val="baseline"/>
                      <w:lang w:val="en-US" w:eastAsia="zh-CN"/>
                    </w:rPr>
                    <w:t>秋季学期16-17周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6"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2</w:t>
                  </w:r>
                </w:p>
              </w:tc>
              <w:tc>
                <w:tcPr>
                  <w:tcW w:w="4885" w:type="dxa"/>
                </w:tcPr>
                <w:p>
                  <w:pPr>
                    <w:spacing w:line="240" w:lineRule="auto"/>
                    <w:rPr>
                      <w:rFonts w:hint="eastAsia" w:ascii="宋体" w:hAnsi="宋体" w:cs="宋体"/>
                      <w:szCs w:val="21"/>
                      <w:vertAlign w:val="baseline"/>
                      <w:lang w:eastAsia="zh-CN"/>
                    </w:rPr>
                  </w:pPr>
                  <w:r>
                    <w:rPr>
                      <w:rFonts w:hint="eastAsia"/>
                      <w:sz w:val="18"/>
                      <w:szCs w:val="18"/>
                    </w:rPr>
                    <w:t>研读相关材料，研究分析基于FlexE的切片编排流程，理清FlexE切片编排的基本设计思路，建立基于FlexE的传送网切片编排问题模型。</w:t>
                  </w:r>
                </w:p>
              </w:tc>
              <w:tc>
                <w:tcPr>
                  <w:tcW w:w="3021"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春季学期第1-4周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6"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3</w:t>
                  </w:r>
                </w:p>
              </w:tc>
              <w:tc>
                <w:tcPr>
                  <w:tcW w:w="4885" w:type="dxa"/>
                </w:tcPr>
                <w:p>
                  <w:pPr>
                    <w:spacing w:line="240" w:lineRule="auto"/>
                    <w:rPr>
                      <w:rFonts w:hint="eastAsia" w:ascii="宋体" w:hAnsi="宋体" w:cs="宋体"/>
                      <w:szCs w:val="21"/>
                      <w:vertAlign w:val="baseline"/>
                      <w:lang w:eastAsia="zh-CN"/>
                    </w:rPr>
                  </w:pPr>
                  <w:r>
                    <w:rPr>
                      <w:rFonts w:hint="eastAsia"/>
                      <w:sz w:val="18"/>
                      <w:szCs w:val="18"/>
                    </w:rPr>
                    <w:t>对已经建立的网络切片编排的数学模型，研究设计一种启发式算法，用于解决在满足差异化租户需求的情况下，最小化资源分配的问题</w:t>
                  </w:r>
                  <w:r>
                    <w:rPr>
                      <w:sz w:val="18"/>
                      <w:szCs w:val="18"/>
                    </w:rPr>
                    <w:t>。</w:t>
                  </w:r>
                </w:p>
              </w:tc>
              <w:tc>
                <w:tcPr>
                  <w:tcW w:w="3021"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春季学期第5-8周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6"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4</w:t>
                  </w:r>
                </w:p>
              </w:tc>
              <w:tc>
                <w:tcPr>
                  <w:tcW w:w="4885" w:type="dxa"/>
                </w:tcPr>
                <w:p>
                  <w:pPr>
                    <w:spacing w:line="240" w:lineRule="auto"/>
                    <w:rPr>
                      <w:rFonts w:hint="eastAsia" w:ascii="宋体" w:hAnsi="宋体" w:cs="宋体"/>
                      <w:szCs w:val="21"/>
                      <w:vertAlign w:val="baseline"/>
                      <w:lang w:eastAsia="zh-CN"/>
                    </w:rPr>
                  </w:pPr>
                  <w:r>
                    <w:rPr>
                      <w:rFonts w:hint="eastAsia"/>
                      <w:sz w:val="18"/>
                      <w:szCs w:val="18"/>
                    </w:rPr>
                    <w:t>编程实现上述算法，搭建仿真环境，设计评价指标，对设计实现的切片编排算法进行比较和评估。</w:t>
                  </w:r>
                </w:p>
              </w:tc>
              <w:tc>
                <w:tcPr>
                  <w:tcW w:w="3021"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春季学期第9-13周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56"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5</w:t>
                  </w:r>
                </w:p>
              </w:tc>
              <w:tc>
                <w:tcPr>
                  <w:tcW w:w="4885" w:type="dxa"/>
                </w:tcPr>
                <w:p>
                  <w:pPr>
                    <w:widowControl/>
                    <w:autoSpaceDE w:val="0"/>
                    <w:autoSpaceDN w:val="0"/>
                    <w:adjustRightInd w:val="0"/>
                    <w:spacing w:line="240" w:lineRule="auto"/>
                    <w:jc w:val="left"/>
                    <w:rPr>
                      <w:rFonts w:hint="eastAsia" w:ascii="宋体" w:hAnsi="宋体" w:cs="宋体"/>
                      <w:szCs w:val="21"/>
                      <w:vertAlign w:val="baseline"/>
                      <w:lang w:eastAsia="zh-CN"/>
                    </w:rPr>
                  </w:pPr>
                  <w:r>
                    <w:rPr>
                      <w:rFonts w:hint="eastAsia"/>
                      <w:sz w:val="18"/>
                      <w:szCs w:val="18"/>
                    </w:rPr>
                    <w:t>论文撰写阶段，</w:t>
                  </w:r>
                  <w:r>
                    <w:rPr>
                      <w:sz w:val="18"/>
                      <w:szCs w:val="18"/>
                    </w:rPr>
                    <w:t>在已有的理论，实现和实验的基础之上</w:t>
                  </w:r>
                  <w:r>
                    <w:rPr>
                      <w:rFonts w:hint="eastAsia"/>
                      <w:sz w:val="18"/>
                      <w:szCs w:val="18"/>
                    </w:rPr>
                    <w:t>撰写</w:t>
                  </w:r>
                  <w:r>
                    <w:rPr>
                      <w:sz w:val="18"/>
                      <w:szCs w:val="18"/>
                    </w:rPr>
                    <w:t>论文</w:t>
                  </w:r>
                  <w:r>
                    <w:rPr>
                      <w:rFonts w:hint="eastAsia"/>
                      <w:sz w:val="18"/>
                      <w:szCs w:val="18"/>
                    </w:rPr>
                    <w:t>，并为之后的答辩做准备</w:t>
                  </w:r>
                  <w:r>
                    <w:rPr>
                      <w:sz w:val="18"/>
                      <w:szCs w:val="18"/>
                    </w:rPr>
                    <w:t>。</w:t>
                  </w:r>
                </w:p>
              </w:tc>
              <w:tc>
                <w:tcPr>
                  <w:tcW w:w="3021" w:type="dxa"/>
                </w:tcPr>
                <w:p>
                  <w:pPr>
                    <w:spacing w:line="360" w:lineRule="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春季学期第14-15周</w:t>
                  </w:r>
                </w:p>
              </w:tc>
            </w:tr>
          </w:tbl>
          <w:p>
            <w:pPr>
              <w:spacing w:line="360" w:lineRule="auto"/>
              <w:rPr>
                <w:rFonts w:hint="eastAsia"/>
                <w:sz w:val="21"/>
                <w:szCs w:val="21"/>
              </w:rPr>
            </w:pPr>
            <w:r>
              <w:rPr>
                <w:rFonts w:hint="eastAsia" w:ascii="宋体" w:hAnsi="宋体" w:cs="宋体"/>
                <w:szCs w:val="21"/>
              </w:rPr>
              <w:t>【</w:t>
            </w:r>
            <w:r>
              <w:rPr>
                <w:rFonts w:hint="eastAsia" w:ascii="宋体" w:hAnsi="宋体" w:cs="宋体"/>
                <w:szCs w:val="21"/>
                <w:lang w:val="en-US" w:eastAsia="zh-CN"/>
              </w:rPr>
              <w:t>输出结果</w:t>
            </w:r>
            <w:r>
              <w:rPr>
                <w:rFonts w:hint="eastAsia" w:ascii="宋体" w:hAnsi="宋体" w:cs="宋体"/>
                <w:szCs w:val="21"/>
              </w:rPr>
              <w:t>】</w:t>
            </w:r>
          </w:p>
          <w:p>
            <w:pPr>
              <w:spacing w:line="360" w:lineRule="auto"/>
              <w:rPr>
                <w:rFonts w:ascii="Times New Roman" w:hAnsi="Times New Roman" w:eastAsia="宋体"/>
                <w:sz w:val="21"/>
                <w:szCs w:val="24"/>
              </w:rPr>
            </w:pPr>
            <w:r>
              <w:rPr>
                <w:rFonts w:ascii="Times New Roman" w:hAnsi="Times New Roman" w:eastAsia="宋体"/>
                <w:sz w:val="21"/>
                <w:szCs w:val="24"/>
              </w:rPr>
              <w:t>1）</w:t>
            </w:r>
            <w:r>
              <w:rPr>
                <w:rFonts w:hint="eastAsia" w:ascii="Times New Roman" w:hAnsi="Times New Roman" w:eastAsia="宋体"/>
                <w:sz w:val="21"/>
                <w:szCs w:val="24"/>
              </w:rPr>
              <w:t>网络切片编排的数学模型；</w:t>
            </w:r>
          </w:p>
          <w:p>
            <w:pPr>
              <w:spacing w:line="360" w:lineRule="auto"/>
              <w:rPr>
                <w:rFonts w:ascii="Times New Roman" w:hAnsi="Times New Roman" w:eastAsia="宋体"/>
                <w:sz w:val="21"/>
                <w:szCs w:val="24"/>
              </w:rPr>
            </w:pPr>
            <w:r>
              <w:rPr>
                <w:rFonts w:hint="eastAsia" w:ascii="Times New Roman" w:hAnsi="Times New Roman" w:eastAsia="宋体"/>
                <w:sz w:val="21"/>
                <w:szCs w:val="24"/>
              </w:rPr>
              <w:t>2）最小化网络切片资源分配的启发式算法</w:t>
            </w:r>
            <w:r>
              <w:rPr>
                <w:rFonts w:ascii="Times New Roman" w:hAnsi="Times New Roman" w:eastAsia="宋体"/>
                <w:sz w:val="21"/>
                <w:szCs w:val="24"/>
              </w:rPr>
              <w:t>的设计与实现；</w:t>
            </w:r>
          </w:p>
          <w:p>
            <w:pPr>
              <w:spacing w:line="360" w:lineRule="auto"/>
              <w:rPr>
                <w:rFonts w:ascii="Times New Roman" w:hAnsi="Times New Roman" w:eastAsia="宋体"/>
                <w:sz w:val="21"/>
                <w:szCs w:val="24"/>
              </w:rPr>
            </w:pPr>
            <w:r>
              <w:rPr>
                <w:rFonts w:hint="eastAsia" w:ascii="Times New Roman" w:hAnsi="Times New Roman" w:eastAsia="宋体"/>
                <w:sz w:val="21"/>
                <w:szCs w:val="24"/>
              </w:rPr>
              <w:t>3</w:t>
            </w:r>
            <w:r>
              <w:rPr>
                <w:rFonts w:ascii="Times New Roman" w:hAnsi="Times New Roman" w:eastAsia="宋体"/>
                <w:sz w:val="21"/>
                <w:szCs w:val="24"/>
              </w:rPr>
              <w:t>）仿真环境的设计与搭建；</w:t>
            </w:r>
          </w:p>
          <w:p>
            <w:pPr>
              <w:spacing w:line="360" w:lineRule="auto"/>
              <w:rPr>
                <w:rFonts w:ascii="Times New Roman" w:hAnsi="Times New Roman" w:eastAsia="宋体"/>
                <w:sz w:val="21"/>
                <w:szCs w:val="24"/>
              </w:rPr>
            </w:pPr>
            <w:r>
              <w:rPr>
                <w:rFonts w:hint="eastAsia" w:ascii="Times New Roman" w:hAnsi="Times New Roman" w:eastAsia="宋体"/>
                <w:sz w:val="21"/>
                <w:szCs w:val="24"/>
              </w:rPr>
              <w:t>4</w:t>
            </w:r>
            <w:r>
              <w:rPr>
                <w:rFonts w:ascii="Times New Roman" w:hAnsi="Times New Roman" w:eastAsia="宋体"/>
                <w:sz w:val="21"/>
                <w:szCs w:val="24"/>
              </w:rPr>
              <w:t>）基于评价指标的算法仿真结果和性能分析。</w:t>
            </w:r>
          </w:p>
          <w:p>
            <w:pPr>
              <w:spacing w:line="360" w:lineRule="auto"/>
              <w:rPr>
                <w:rFonts w:ascii="Times New Roman" w:hAnsi="Times New Roman" w:eastAsia="宋体"/>
                <w:sz w:val="21"/>
                <w:szCs w:val="24"/>
              </w:rPr>
            </w:pPr>
            <w:r>
              <w:rPr>
                <w:rFonts w:hint="eastAsia" w:ascii="宋体" w:hAnsi="宋体" w:cs="宋体"/>
                <w:szCs w:val="21"/>
              </w:rPr>
              <w:t>【</w:t>
            </w:r>
            <w:r>
              <w:rPr>
                <w:rFonts w:hint="eastAsia" w:ascii="宋体" w:hAnsi="宋体" w:cs="宋体"/>
                <w:szCs w:val="21"/>
                <w:lang w:val="en-US" w:eastAsia="zh-CN"/>
              </w:rPr>
              <w:t>主要参考文献</w:t>
            </w:r>
            <w:r>
              <w:rPr>
                <w:rFonts w:hint="eastAsia" w:ascii="宋体" w:hAnsi="宋体" w:cs="宋体"/>
                <w:szCs w:val="21"/>
              </w:rPr>
              <w:t>】</w:t>
            </w:r>
          </w:p>
          <w:p>
            <w:pPr>
              <w:numPr>
                <w:ilvl w:val="0"/>
                <w:numId w:val="1"/>
              </w:numPr>
              <w:spacing w:line="360" w:lineRule="atLeast"/>
              <w:rPr>
                <w:rFonts w:hint="eastAsia"/>
                <w:lang w:val="en-US" w:eastAsia="zh-CN"/>
              </w:rPr>
            </w:pPr>
            <w:r>
              <w:rPr>
                <w:rFonts w:hint="eastAsia"/>
                <w:lang w:val="en-US" w:eastAsia="zh-CN"/>
              </w:rPr>
              <w:t>Muhammad Rehan Raza,Matteo Fiorani,Ahmad Rostami,Peter Öhlen,Lena Wosinska,Paolo Monti. Dynamic Slicing Approach for Multi-Tenant 5G Transport Networks [Invited][J]. Journal of Optical Communications and Networking,2018,10(1).</w:t>
            </w:r>
          </w:p>
          <w:p>
            <w:pPr>
              <w:numPr>
                <w:ilvl w:val="0"/>
                <w:numId w:val="1"/>
              </w:numPr>
              <w:spacing w:line="360" w:lineRule="atLeast"/>
              <w:rPr>
                <w:rFonts w:hint="eastAsia"/>
                <w:lang w:val="en-US" w:eastAsia="zh-CN"/>
              </w:rPr>
            </w:pPr>
            <w:r>
              <w:rPr>
                <w:rFonts w:hint="eastAsia"/>
                <w:lang w:val="en-US" w:eastAsia="zh-CN"/>
              </w:rPr>
              <w:t>R. Vilalta et al., "Network Slicing Using Dynamic Flex Ethernet over Transport Networks," 2017 European Conference on Optical Communication (ECOC)[J], 2017, pp. 1-3, doi: 10.1109/ECOC.2017.</w:t>
            </w:r>
          </w:p>
          <w:p>
            <w:pPr>
              <w:numPr>
                <w:ilvl w:val="0"/>
                <w:numId w:val="1"/>
              </w:numPr>
              <w:spacing w:line="360" w:lineRule="atLeast"/>
              <w:rPr>
                <w:rFonts w:hint="eastAsia"/>
                <w:lang w:val="en-US" w:eastAsia="zh-CN"/>
              </w:rPr>
            </w:pPr>
            <w:r>
              <w:rPr>
                <w:rFonts w:hint="eastAsia"/>
                <w:lang w:val="en-US" w:eastAsia="zh-CN"/>
              </w:rPr>
              <w:t>K. Katsalis, L. Gatzikis and K. Samdanis, "Towards Slicing for Transport Networks: The Case of Flex-Ethernet in 5G," 2018 IEEE Conference on Standards for Communications and Networking (CSCN)[J], 2018, pp. 1-7, doi: 10.1109/CSCN.2018.</w:t>
            </w:r>
          </w:p>
          <w:p>
            <w:pPr>
              <w:numPr>
                <w:ilvl w:val="0"/>
                <w:numId w:val="1"/>
              </w:numPr>
              <w:spacing w:line="360" w:lineRule="atLeast"/>
              <w:rPr>
                <w:rFonts w:hint="eastAsia"/>
                <w:lang w:val="en-US" w:eastAsia="zh-CN"/>
              </w:rPr>
            </w:pPr>
            <w:r>
              <w:rPr>
                <w:rFonts w:hint="eastAsia"/>
                <w:lang w:val="en-US" w:eastAsia="zh-CN"/>
              </w:rPr>
              <w:t>Algorithms - Algorithm Research; Reports Outline Algorithm Research Research from Korea Institute of Science and Technology (Dynamic Virtual Network Slicing and Orchestration for Selective MEC Services over Wide-Area SDN)[J]. Journal of Mathematics,2020.</w:t>
            </w:r>
          </w:p>
          <w:p>
            <w:pPr>
              <w:numPr>
                <w:ilvl w:val="0"/>
                <w:numId w:val="1"/>
              </w:numPr>
              <w:spacing w:line="360" w:lineRule="atLeast"/>
              <w:rPr>
                <w:rFonts w:hint="eastAsia"/>
                <w:lang w:val="en-US" w:eastAsia="zh-CN"/>
              </w:rPr>
            </w:pPr>
            <w:r>
              <w:rPr>
                <w:rFonts w:hint="eastAsia"/>
                <w:lang w:val="en-US" w:eastAsia="zh-CN"/>
              </w:rPr>
              <w:t>Kim Dongkyun,Kim YongHwan. Dynamic Virtual Network Slicing and Orchestration for Selective MEC Services over Wide-Area SDN[J]. Algorithms,2020,13(10).</w:t>
            </w:r>
          </w:p>
          <w:p>
            <w:pPr>
              <w:numPr>
                <w:ilvl w:val="0"/>
                <w:numId w:val="1"/>
              </w:numPr>
              <w:spacing w:line="360" w:lineRule="atLeast"/>
              <w:rPr>
                <w:rFonts w:hint="eastAsia"/>
                <w:lang w:val="en-US" w:eastAsia="zh-CN"/>
              </w:rPr>
            </w:pPr>
            <w:r>
              <w:rPr>
                <w:rFonts w:hint="eastAsia"/>
                <w:lang w:val="en-US" w:eastAsia="zh-CN"/>
              </w:rPr>
              <w:t>P. Alemany et al., "Network Slicing Over A Packet/Optical Network For Vertical Applications Applied To Multimedia Real-Time Communications," 2019 IEEE Conference on Network Function Virtualization and Software Defined Networks (NFV-SDN)[J], 2019, pp. 1-2, doi: 10.1109/NFV-SDN47374.2019.</w:t>
            </w:r>
          </w:p>
          <w:p>
            <w:pPr>
              <w:numPr>
                <w:ilvl w:val="0"/>
                <w:numId w:val="1"/>
              </w:numPr>
              <w:spacing w:line="360" w:lineRule="atLeast"/>
              <w:rPr>
                <w:rFonts w:hint="eastAsia"/>
                <w:lang w:val="en-US" w:eastAsia="zh-CN"/>
              </w:rPr>
            </w:pPr>
            <w:r>
              <w:rPr>
                <w:rFonts w:hint="eastAsia"/>
                <w:lang w:val="en-US" w:eastAsia="zh-CN"/>
              </w:rPr>
              <w:t>Samier Barguil et al. “Packet Optical Transport Network Slicing with Hard and Soft Isolation” Applied Sciences 11 [J]，2021: 6219</w:t>
            </w:r>
          </w:p>
          <w:p>
            <w:pPr>
              <w:numPr>
                <w:ilvl w:val="0"/>
                <w:numId w:val="1"/>
              </w:numPr>
              <w:spacing w:line="360" w:lineRule="atLeast"/>
              <w:rPr>
                <w:rFonts w:hint="eastAsia"/>
                <w:lang w:val="en-US" w:eastAsia="zh-CN"/>
              </w:rPr>
            </w:pPr>
            <w:r>
              <w:rPr>
                <w:rFonts w:hint="eastAsia"/>
                <w:lang w:val="en-US" w:eastAsia="zh-CN"/>
              </w:rPr>
              <w:t>P. Alemany et al., "Experimental Validation of Network Slicing Management for Vertical Applications on Multimedia Real-Time Communications over a Packet/Optical Network," 2019 21st International Conference on Transparent Optical Networks (ICTON)[J], 2019, pp. 1-4, doi: 10.1109/ICTON.2019.</w:t>
            </w:r>
          </w:p>
          <w:p>
            <w:pPr>
              <w:numPr>
                <w:ilvl w:val="0"/>
                <w:numId w:val="1"/>
              </w:numPr>
              <w:spacing w:line="360" w:lineRule="atLeast"/>
              <w:rPr>
                <w:rFonts w:hint="eastAsia"/>
                <w:lang w:val="en-US" w:eastAsia="zh-CN"/>
              </w:rPr>
            </w:pPr>
            <w:r>
              <w:rPr>
                <w:rFonts w:hint="eastAsia"/>
                <w:lang w:val="en-US" w:eastAsia="zh-CN"/>
              </w:rPr>
              <w:t>Bingxin Kong et al. “Demonstration of application-driven network slicing and orchestration in optical/packet domains: on-demand vDC expansion for Hadoop MapReduce optimization[J].” Optics Express 26 (2018): 14066-14085.</w:t>
            </w:r>
          </w:p>
          <w:p>
            <w:pPr>
              <w:numPr>
                <w:ilvl w:val="0"/>
                <w:numId w:val="1"/>
              </w:numPr>
              <w:spacing w:line="360" w:lineRule="atLeast"/>
              <w:rPr>
                <w:rFonts w:hint="eastAsia"/>
                <w:lang w:val="en-US" w:eastAsia="zh-CN"/>
              </w:rPr>
            </w:pPr>
            <w:r>
              <w:rPr>
                <w:rFonts w:hint="eastAsia"/>
                <w:lang w:val="en-US" w:eastAsia="zh-CN"/>
              </w:rPr>
              <w:t>Guan Wanqing et al. “A Service-Oriented Deployment Policy of End-to-End Network Slicing Based on Complex Network Theory”[J]，IEEE Access 6 (2018): 19691-19701.</w:t>
            </w:r>
          </w:p>
          <w:p>
            <w:pPr>
              <w:numPr>
                <w:ilvl w:val="0"/>
                <w:numId w:val="1"/>
              </w:numPr>
              <w:spacing w:line="360" w:lineRule="atLeast"/>
              <w:rPr>
                <w:rFonts w:hint="eastAsia"/>
                <w:lang w:val="en-US" w:eastAsia="zh-CN"/>
              </w:rPr>
            </w:pPr>
            <w:r>
              <w:rPr>
                <w:rFonts w:hint="eastAsia"/>
                <w:lang w:val="en-US" w:eastAsia="zh-CN"/>
              </w:rPr>
              <w:t>Spyridon Vassilaras et al. “The Algorithmic Aspects of Network Slicing”[J]，IEEE Communications Magazine 55 (2017): 112-119.</w:t>
            </w:r>
          </w:p>
          <w:p>
            <w:pPr>
              <w:numPr>
                <w:ilvl w:val="0"/>
                <w:numId w:val="1"/>
              </w:numPr>
              <w:spacing w:line="360" w:lineRule="atLeast"/>
              <w:jc w:val="both"/>
              <w:rPr>
                <w:rFonts w:hint="eastAsia"/>
                <w:lang w:val="en-US" w:eastAsia="zh-CN"/>
              </w:rPr>
            </w:pPr>
            <w:r>
              <w:rPr>
                <w:rFonts w:hint="eastAsia"/>
                <w:lang w:val="en-US" w:eastAsia="zh-CN"/>
              </w:rPr>
              <w:t>何毅刚,许志斌,贺思一.切片分组网络SPN技术的应用分析[J].集成电路应用,2021,38(06):10-11.DOI:10.19339/j.issn.1674-2583.2021.06.005.</w:t>
            </w:r>
          </w:p>
          <w:p>
            <w:pPr>
              <w:numPr>
                <w:ilvl w:val="0"/>
                <w:numId w:val="1"/>
              </w:numPr>
              <w:spacing w:line="360" w:lineRule="atLeast"/>
              <w:jc w:val="both"/>
              <w:rPr>
                <w:rFonts w:hint="eastAsia"/>
                <w:lang w:val="en-US" w:eastAsia="zh-CN"/>
              </w:rPr>
            </w:pPr>
            <w:r>
              <w:rPr>
                <w:rFonts w:hint="eastAsia"/>
                <w:lang w:val="en-US" w:eastAsia="zh-CN"/>
              </w:rPr>
              <w:t>林超文.基于分组切片的5G承载网技术分析与组网探讨[J].电子测试,2021(05):87-88+104.DOI:10.16520/j.cnki.1000-8519.2021.05.031.</w:t>
            </w:r>
          </w:p>
          <w:p>
            <w:pPr>
              <w:numPr>
                <w:ilvl w:val="0"/>
                <w:numId w:val="1"/>
              </w:numPr>
              <w:spacing w:line="360" w:lineRule="atLeast"/>
              <w:jc w:val="both"/>
              <w:rPr>
                <w:rFonts w:hint="eastAsia"/>
                <w:lang w:val="en-US" w:eastAsia="zh-CN"/>
              </w:rPr>
            </w:pPr>
            <w:r>
              <w:rPr>
                <w:rFonts w:hint="eastAsia"/>
                <w:lang w:val="en-US" w:eastAsia="zh-CN"/>
              </w:rPr>
              <w:t>李光兴.5G承载网的关键技术及其组网方案研究[J].通讯世界,2019,26(11):74-75.</w:t>
            </w:r>
          </w:p>
          <w:p>
            <w:pPr>
              <w:numPr>
                <w:ilvl w:val="0"/>
                <w:numId w:val="1"/>
              </w:numPr>
              <w:spacing w:line="360" w:lineRule="atLeast"/>
              <w:jc w:val="both"/>
              <w:rPr>
                <w:rFonts w:hint="eastAsia"/>
                <w:lang w:val="en-US" w:eastAsia="zh-CN"/>
              </w:rPr>
            </w:pPr>
            <w:r>
              <w:rPr>
                <w:rFonts w:hint="eastAsia"/>
                <w:lang w:val="en-US" w:eastAsia="zh-CN"/>
              </w:rPr>
              <w:t>庞晓丹,李薇薇,孙茜,田霖.LTE无线网络虚拟化中切片调度策略[J].电信科学,2017,33(02):66-72.</w:t>
            </w:r>
          </w:p>
          <w:p>
            <w:pPr>
              <w:numPr>
                <w:ilvl w:val="0"/>
                <w:numId w:val="1"/>
              </w:numPr>
              <w:spacing w:line="360" w:lineRule="atLeast"/>
              <w:rPr>
                <w:rFonts w:hint="eastAsia"/>
                <w:lang w:val="en-US" w:eastAsia="zh-CN"/>
              </w:rPr>
            </w:pPr>
            <w:r>
              <w:rPr>
                <w:rFonts w:hint="eastAsia"/>
                <w:lang w:val="en-US" w:eastAsia="zh-CN"/>
              </w:rPr>
              <w:t>G.8310(ITU-T)，G.mtn-arch[S].ITU-T Study Group 15，2020.</w:t>
            </w:r>
          </w:p>
          <w:p>
            <w:pPr>
              <w:numPr>
                <w:ilvl w:val="0"/>
                <w:numId w:val="1"/>
              </w:numPr>
              <w:spacing w:line="360" w:lineRule="atLeast"/>
              <w:rPr>
                <w:rFonts w:hint="eastAsia"/>
                <w:lang w:val="en-US" w:eastAsia="zh-CN"/>
              </w:rPr>
            </w:pPr>
            <w:r>
              <w:rPr>
                <w:rFonts w:hint="eastAsia"/>
                <w:lang w:val="en-US" w:eastAsia="zh-CN"/>
              </w:rPr>
              <w:t>韩柳燕,叶雯,王敏学,张德朝,李晗.SPN迈向小颗粒切片2.0时代[J].通信世界,2021(14):31-33.DOI:10.13571/j.cnki.cww.2021.14.011.</w:t>
            </w:r>
          </w:p>
          <w:p>
            <w:pPr>
              <w:numPr>
                <w:ilvl w:val="0"/>
                <w:numId w:val="1"/>
              </w:numPr>
              <w:spacing w:line="360" w:lineRule="atLeast"/>
              <w:rPr>
                <w:rFonts w:hint="eastAsia"/>
                <w:lang w:val="en-US" w:eastAsia="zh-CN"/>
              </w:rPr>
            </w:pPr>
            <w:r>
              <w:rPr>
                <w:rFonts w:hint="eastAsia"/>
                <w:lang w:val="en-US" w:eastAsia="zh-CN"/>
              </w:rPr>
              <w:t>IA OIF-FLEXE-02.0，Flex Ethernet 2.0 Implementation Agreement[S].OIF，2018.</w:t>
            </w:r>
          </w:p>
          <w:p>
            <w:pPr>
              <w:numPr>
                <w:ilvl w:val="0"/>
                <w:numId w:val="1"/>
              </w:numPr>
              <w:spacing w:line="360" w:lineRule="atLeast"/>
              <w:rPr>
                <w:rFonts w:hint="eastAsia"/>
                <w:lang w:val="en-US" w:eastAsia="zh-CN"/>
              </w:rPr>
            </w:pPr>
            <w:r>
              <w:rPr>
                <w:rFonts w:hint="eastAsia"/>
                <w:lang w:val="en-US" w:eastAsia="zh-CN"/>
              </w:rPr>
              <w:t>2021-0582T-YD</w:t>
            </w:r>
            <w:r>
              <w:rPr>
                <w:rFonts w:hint="eastAsia"/>
                <w:lang w:eastAsia="zh-CN"/>
              </w:rPr>
              <w:t>，</w:t>
            </w:r>
            <w:r>
              <w:rPr>
                <w:rFonts w:hint="eastAsia"/>
              </w:rPr>
              <w:t>5G网络切片管理功能（NSMF）与基于切片分组网（SPN）的承载网切片子网管理功能（TN-NSSMF）接口技术</w:t>
            </w:r>
            <w:r>
              <w:rPr>
                <w:rFonts w:hint="eastAsia"/>
                <w:lang w:val="en-US" w:eastAsia="zh-CN"/>
              </w:rPr>
              <w:t>[S].北京：中国通信标准化协会，2021.</w:t>
            </w:r>
          </w:p>
          <w:p>
            <w:pPr>
              <w:numPr>
                <w:ilvl w:val="0"/>
                <w:numId w:val="1"/>
              </w:numPr>
              <w:spacing w:line="360" w:lineRule="atLeast"/>
              <w:rPr>
                <w:rFonts w:hint="eastAsia"/>
                <w:lang w:val="en-US" w:eastAsia="zh-CN"/>
              </w:rPr>
            </w:pPr>
            <w:r>
              <w:rPr>
                <w:rFonts w:hint="eastAsia"/>
              </w:rPr>
              <w:t>2021-0583T-YD</w:t>
            </w:r>
            <w:r>
              <w:rPr>
                <w:rFonts w:hint="eastAsia"/>
                <w:lang w:eastAsia="zh-CN"/>
              </w:rPr>
              <w:t>，</w:t>
            </w:r>
            <w:r>
              <w:rPr>
                <w:rFonts w:hint="eastAsia"/>
              </w:rPr>
              <w:t>基于切片分组网(SPN)的承载网切片子网管理功能（TN-NSSMF）技术要求</w:t>
            </w:r>
            <w:r>
              <w:rPr>
                <w:rFonts w:hint="eastAsia"/>
                <w:lang w:val="en-US" w:eastAsia="zh-CN"/>
              </w:rPr>
              <w:t>[S].北京：中国通信标准化协会，2021.</w:t>
            </w:r>
          </w:p>
          <w:p>
            <w:pPr>
              <w:numPr>
                <w:ilvl w:val="0"/>
                <w:numId w:val="1"/>
              </w:numPr>
              <w:spacing w:line="360" w:lineRule="atLeast"/>
              <w:rPr>
                <w:rFonts w:hint="eastAsia"/>
                <w:lang w:val="en-US" w:eastAsia="zh-CN"/>
              </w:rPr>
            </w:pPr>
            <w:r>
              <w:rPr>
                <w:rFonts w:hint="eastAsia"/>
              </w:rPr>
              <w:t>2020-0512T-YD</w:t>
            </w:r>
            <w:r>
              <w:rPr>
                <w:rFonts w:hint="eastAsia"/>
                <w:lang w:eastAsia="zh-CN"/>
              </w:rPr>
              <w:t>，</w:t>
            </w:r>
            <w:r>
              <w:rPr>
                <w:rFonts w:hint="eastAsia"/>
              </w:rPr>
              <w:t>5G网络切片基于切片分组网（SPN）承载的端到端切片对接技术要求</w:t>
            </w:r>
            <w:r>
              <w:rPr>
                <w:rFonts w:hint="eastAsia"/>
                <w:lang w:val="en-US" w:eastAsia="zh-CN"/>
              </w:rPr>
              <w:t>[S].北京：中国通信标准化协会，2020.</w:t>
            </w:r>
          </w:p>
          <w:p>
            <w:pPr>
              <w:numPr>
                <w:ilvl w:val="0"/>
                <w:numId w:val="1"/>
              </w:numPr>
              <w:spacing w:line="360" w:lineRule="atLeast"/>
              <w:rPr>
                <w:rFonts w:hint="eastAsia"/>
                <w:lang w:val="en-US" w:eastAsia="zh-CN"/>
              </w:rPr>
            </w:pPr>
            <w:r>
              <w:rPr>
                <w:rFonts w:hint="eastAsia"/>
              </w:rPr>
              <w:t>2020-0539T-YD</w:t>
            </w:r>
            <w:r>
              <w:rPr>
                <w:rFonts w:hint="eastAsia"/>
                <w:lang w:eastAsia="zh-CN"/>
              </w:rPr>
              <w:t>，</w:t>
            </w:r>
            <w:r>
              <w:rPr>
                <w:rFonts w:hint="eastAsia"/>
              </w:rPr>
              <w:t>面向5G传输的PTN/SPN管理融合网络管理系统技术要求</w:t>
            </w:r>
            <w:r>
              <w:rPr>
                <w:rFonts w:hint="eastAsia"/>
                <w:lang w:val="en-US" w:eastAsia="zh-CN"/>
              </w:rPr>
              <w:t>[S].北京：中国通信标准化协会，2020.</w:t>
            </w:r>
          </w:p>
          <w:p>
            <w:pPr>
              <w:numPr>
                <w:ilvl w:val="0"/>
                <w:numId w:val="1"/>
              </w:numPr>
              <w:spacing w:line="360" w:lineRule="atLeast"/>
              <w:rPr>
                <w:rFonts w:hint="eastAsia"/>
                <w:lang w:val="en-US" w:eastAsia="zh-CN"/>
              </w:rPr>
            </w:pPr>
            <w:r>
              <w:rPr>
                <w:rFonts w:hint="default"/>
                <w:lang w:val="en-US" w:eastAsia="zh-CN"/>
              </w:rPr>
              <w:t>2019-1213T-YD</w:t>
            </w:r>
            <w:r>
              <w:rPr>
                <w:rFonts w:hint="eastAsia"/>
                <w:lang w:val="en-US" w:eastAsia="zh-CN"/>
              </w:rPr>
              <w:t>，切片分组网络（SPN）总体技术要求[S].北京：中国通信标准化协会，2019.</w:t>
            </w:r>
          </w:p>
          <w:p>
            <w:pPr>
              <w:numPr>
                <w:ilvl w:val="0"/>
                <w:numId w:val="1"/>
              </w:numPr>
              <w:spacing w:line="360" w:lineRule="atLeast"/>
              <w:rPr>
                <w:rFonts w:hint="eastAsia"/>
                <w:sz w:val="24"/>
              </w:rPr>
            </w:pPr>
            <w:r>
              <w:rPr>
                <w:rFonts w:hint="eastAsia"/>
                <w:lang w:val="en-US" w:eastAsia="zh-CN"/>
              </w:rPr>
              <w:t>中国移动.SPN技术白皮书[R].北京：中国移动，2018.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2" w:hRule="atLeast"/>
        </w:trPr>
        <w:tc>
          <w:tcPr>
            <w:tcW w:w="5235" w:type="dxa"/>
            <w:gridSpan w:val="4"/>
            <w:vAlign w:val="center"/>
          </w:tcPr>
          <w:p>
            <w:pPr>
              <w:spacing w:line="480" w:lineRule="auto"/>
              <w:jc w:val="left"/>
              <w:rPr>
                <w:rFonts w:hint="eastAsia"/>
              </w:rPr>
            </w:pPr>
            <w:r>
              <w:rPr>
                <w:rFonts w:hint="eastAsia"/>
              </w:rPr>
              <w:t>允许</w:t>
            </w:r>
            <w:r>
              <w:t>进入论文撰写环节</w:t>
            </w:r>
            <w:r>
              <w:rPr>
                <w:rFonts w:hint="eastAsia"/>
              </w:rPr>
              <w:t>：</w:t>
            </w:r>
            <w:r>
              <w:t>是</w:t>
            </w:r>
            <w:r>
              <w:rPr>
                <w:rFonts w:hint="eastAsia"/>
              </w:rPr>
              <w:t xml:space="preserve"> </w:t>
            </w:r>
            <w:r>
              <w:rPr>
                <w:rFonts w:hint="eastAsia"/>
                <w:sz w:val="30"/>
                <w:szCs w:val="30"/>
              </w:rPr>
              <w:t>□</w:t>
            </w:r>
            <w:r>
              <w:rPr>
                <w:rFonts w:hint="eastAsia"/>
              </w:rPr>
              <w:t xml:space="preserve"> </w:t>
            </w:r>
            <w:r>
              <w:t xml:space="preserve"> </w:t>
            </w:r>
            <w:r>
              <w:rPr>
                <w:rFonts w:hint="eastAsia"/>
              </w:rPr>
              <w:t xml:space="preserve"> 否 </w:t>
            </w:r>
            <w:r>
              <w:rPr>
                <w:rFonts w:hint="eastAsia"/>
                <w:sz w:val="30"/>
                <w:szCs w:val="30"/>
              </w:rPr>
              <w:t>□</w:t>
            </w:r>
          </w:p>
        </w:tc>
        <w:tc>
          <w:tcPr>
            <w:tcW w:w="1134" w:type="dxa"/>
            <w:vMerge w:val="restart"/>
            <w:vAlign w:val="center"/>
          </w:tcPr>
          <w:p>
            <w:pPr>
              <w:spacing w:line="480" w:lineRule="auto"/>
              <w:jc w:val="center"/>
              <w:rPr>
                <w:rFonts w:hint="eastAsia"/>
              </w:rPr>
            </w:pPr>
            <w:r>
              <w:rPr>
                <w:rFonts w:hint="eastAsia"/>
              </w:rPr>
              <w:t>指导教师</w:t>
            </w:r>
            <w:r>
              <w:t>签字</w:t>
            </w:r>
          </w:p>
        </w:tc>
        <w:tc>
          <w:tcPr>
            <w:tcW w:w="2919" w:type="dxa"/>
            <w:gridSpan w:val="3"/>
            <w:vMerge w:val="restart"/>
            <w:vAlign w:val="center"/>
          </w:tcPr>
          <w:p>
            <w:pPr>
              <w:spacing w:line="480" w:lineRule="auto"/>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2" w:hRule="atLeast"/>
        </w:trPr>
        <w:tc>
          <w:tcPr>
            <w:tcW w:w="2078" w:type="dxa"/>
            <w:vAlign w:val="center"/>
          </w:tcPr>
          <w:p>
            <w:pPr>
              <w:spacing w:line="480" w:lineRule="auto"/>
              <w:jc w:val="center"/>
            </w:pPr>
            <w:r>
              <w:rPr>
                <w:rFonts w:hint="eastAsia"/>
              </w:rPr>
              <w:t>日期</w:t>
            </w:r>
          </w:p>
        </w:tc>
        <w:tc>
          <w:tcPr>
            <w:tcW w:w="3157" w:type="dxa"/>
            <w:gridSpan w:val="3"/>
            <w:vAlign w:val="center"/>
          </w:tcPr>
          <w:p>
            <w:pPr>
              <w:spacing w:line="480" w:lineRule="auto"/>
              <w:jc w:val="center"/>
            </w:pPr>
            <w:r>
              <w:rPr>
                <w:rFonts w:hint="eastAsia"/>
                <w:lang w:val="en-US" w:eastAsia="zh-CN"/>
              </w:rPr>
              <w:t>2021</w:t>
            </w:r>
            <w:r>
              <w:rPr>
                <w:rFonts w:hint="eastAsia"/>
              </w:rPr>
              <w:t xml:space="preserve">年   </w:t>
            </w:r>
            <w:r>
              <w:rPr>
                <w:rFonts w:hint="eastAsia"/>
                <w:lang w:val="en-US" w:eastAsia="zh-CN"/>
              </w:rPr>
              <w:t>12</w:t>
            </w:r>
            <w:r>
              <w:rPr>
                <w:rFonts w:hint="eastAsia"/>
              </w:rPr>
              <w:t xml:space="preserve">月   </w:t>
            </w:r>
            <w:r>
              <w:rPr>
                <w:rFonts w:hint="eastAsia"/>
                <w:lang w:val="en-US" w:eastAsia="zh-CN"/>
              </w:rPr>
              <w:t>16</w:t>
            </w:r>
            <w:r>
              <w:rPr>
                <w:rFonts w:hint="eastAsia"/>
              </w:rPr>
              <w:t>日</w:t>
            </w:r>
          </w:p>
        </w:tc>
        <w:tc>
          <w:tcPr>
            <w:tcW w:w="1134" w:type="dxa"/>
            <w:vMerge w:val="continue"/>
            <w:vAlign w:val="center"/>
          </w:tcPr>
          <w:p>
            <w:pPr>
              <w:spacing w:line="480" w:lineRule="auto"/>
              <w:jc w:val="center"/>
              <w:rPr>
                <w:rFonts w:hint="eastAsia"/>
              </w:rPr>
            </w:pPr>
          </w:p>
        </w:tc>
        <w:tc>
          <w:tcPr>
            <w:tcW w:w="2919" w:type="dxa"/>
            <w:gridSpan w:val="3"/>
            <w:vMerge w:val="continue"/>
            <w:vAlign w:val="center"/>
          </w:tcPr>
          <w:p>
            <w:pPr>
              <w:spacing w:line="480" w:lineRule="auto"/>
              <w:jc w:val="center"/>
              <w:rPr>
                <w:rFonts w:hint="eastAsia"/>
              </w:rPr>
            </w:pPr>
          </w:p>
        </w:tc>
      </w:tr>
    </w:tbl>
    <w:p>
      <w:pPr>
        <w:rPr>
          <w:rFonts w:hint="eastAsia" w:ascii="宋体" w:hAnsi="宋体"/>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58392B"/>
    <w:multiLevelType w:val="singleLevel"/>
    <w:tmpl w:val="3B58392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17"/>
    <w:rsid w:val="008E57A1"/>
    <w:rsid w:val="00E30E17"/>
    <w:rsid w:val="00EF0F8B"/>
    <w:rsid w:val="01426AE8"/>
    <w:rsid w:val="02F56D74"/>
    <w:rsid w:val="03C1490A"/>
    <w:rsid w:val="05583173"/>
    <w:rsid w:val="056F3AA0"/>
    <w:rsid w:val="063378D9"/>
    <w:rsid w:val="09F47B7D"/>
    <w:rsid w:val="0A3E36F7"/>
    <w:rsid w:val="0B1E4153"/>
    <w:rsid w:val="0BC70A26"/>
    <w:rsid w:val="0D9A6441"/>
    <w:rsid w:val="0DCB0AAA"/>
    <w:rsid w:val="0E553E22"/>
    <w:rsid w:val="155500FD"/>
    <w:rsid w:val="170D3B32"/>
    <w:rsid w:val="175D7B3D"/>
    <w:rsid w:val="1A38724B"/>
    <w:rsid w:val="1BC3591D"/>
    <w:rsid w:val="1CB755EE"/>
    <w:rsid w:val="1CEA7762"/>
    <w:rsid w:val="1FB042F7"/>
    <w:rsid w:val="2268710B"/>
    <w:rsid w:val="26B406EC"/>
    <w:rsid w:val="27B153F8"/>
    <w:rsid w:val="29620A37"/>
    <w:rsid w:val="29F508EA"/>
    <w:rsid w:val="2CD51841"/>
    <w:rsid w:val="2E6B215A"/>
    <w:rsid w:val="2FC31E25"/>
    <w:rsid w:val="2FDF79F5"/>
    <w:rsid w:val="2FF3779B"/>
    <w:rsid w:val="2FFD20B4"/>
    <w:rsid w:val="32686974"/>
    <w:rsid w:val="34DB4661"/>
    <w:rsid w:val="36AE1AEF"/>
    <w:rsid w:val="37B54591"/>
    <w:rsid w:val="3991662D"/>
    <w:rsid w:val="39CA2BC5"/>
    <w:rsid w:val="39F921EC"/>
    <w:rsid w:val="3B247C1B"/>
    <w:rsid w:val="3B312338"/>
    <w:rsid w:val="3D0A1093"/>
    <w:rsid w:val="3DC374E4"/>
    <w:rsid w:val="3E506CB3"/>
    <w:rsid w:val="3E530817"/>
    <w:rsid w:val="3F536D21"/>
    <w:rsid w:val="40425DD1"/>
    <w:rsid w:val="41801923"/>
    <w:rsid w:val="433753F8"/>
    <w:rsid w:val="449D5272"/>
    <w:rsid w:val="47571378"/>
    <w:rsid w:val="477A306A"/>
    <w:rsid w:val="48E11FE9"/>
    <w:rsid w:val="4AE36042"/>
    <w:rsid w:val="4B0F3BC9"/>
    <w:rsid w:val="4BEC1A67"/>
    <w:rsid w:val="4D550108"/>
    <w:rsid w:val="4DEB6742"/>
    <w:rsid w:val="502C7E07"/>
    <w:rsid w:val="516073C5"/>
    <w:rsid w:val="51EA095B"/>
    <w:rsid w:val="52122A39"/>
    <w:rsid w:val="52E63EC5"/>
    <w:rsid w:val="555D2A09"/>
    <w:rsid w:val="5768699D"/>
    <w:rsid w:val="5B4672E2"/>
    <w:rsid w:val="5BB95D06"/>
    <w:rsid w:val="5BD420AE"/>
    <w:rsid w:val="6538165E"/>
    <w:rsid w:val="658702BA"/>
    <w:rsid w:val="664265C2"/>
    <w:rsid w:val="69191363"/>
    <w:rsid w:val="6A152CA1"/>
    <w:rsid w:val="6E431211"/>
    <w:rsid w:val="6F745814"/>
    <w:rsid w:val="70640E38"/>
    <w:rsid w:val="707967FB"/>
    <w:rsid w:val="70DD6A60"/>
    <w:rsid w:val="713C4FB8"/>
    <w:rsid w:val="721D6DF3"/>
    <w:rsid w:val="76CE66B2"/>
    <w:rsid w:val="780530B7"/>
    <w:rsid w:val="78462278"/>
    <w:rsid w:val="79DF1136"/>
    <w:rsid w:val="7B666459"/>
    <w:rsid w:val="7BFD5343"/>
    <w:rsid w:val="7D02710D"/>
    <w:rsid w:val="7D1F357E"/>
    <w:rsid w:val="7DB7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9"/>
    <w:pPr>
      <w:keepNext/>
      <w:keepLines/>
      <w:spacing w:before="260" w:after="260" w:line="415" w:lineRule="auto"/>
      <w:ind w:firstLine="200" w:firstLineChars="200"/>
      <w:outlineLvl w:val="1"/>
    </w:pPr>
    <w:rPr>
      <w:rFonts w:ascii="Arial" w:hAnsi="Arial"/>
      <w:b/>
      <w:bCs/>
      <w:szCs w:val="32"/>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北京邮电大学</Company>
  <Pages>1</Pages>
  <Words>35</Words>
  <Characters>202</Characters>
  <Lines>1</Lines>
  <Paragraphs>1</Paragraphs>
  <TotalTime>78</TotalTime>
  <ScaleCrop>false</ScaleCrop>
  <LinksUpToDate>false</LinksUpToDate>
  <CharactersWithSpaces>236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2019-03-08T09:11:00Z</dcterms:created>
  <dc:creator>li</dc:creator>
  <cp:lastModifiedBy>啊星</cp:lastModifiedBy>
  <dcterms:modified xsi:type="dcterms:W3CDTF">2021-12-23T08:36:51Z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59780C5AE2F341648F25D0BCFAFAD658</vt:lpwstr>
  </property>
</Properties>
</file>