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Floor 3 Annexation — Standup</w:t>
      </w:r>
    </w:p>
    <w:p>
      <w:r>
        <w:t>Date: Wednesday, October 14, 2026</w:t>
        <w:br/>
        <w:t>Attendees: Tuxedo Meowtani, Dale Henderson, Pixel</w:t>
        <w:br/>
        <w:t>Absent: Sir Reginald Biscuits (in a box; did not respond to knocking)</w:t>
        <w:br/>
        <w:t>Note-taker: Pixel</w:t>
      </w:r>
    </w:p>
    <w:p>
      <w:pPr>
        <w:pStyle w:val="Heading2"/>
      </w:pPr>
      <w:r>
        <w:t>Updates</w:t>
      </w:r>
    </w:p>
    <w:p>
      <w:pPr>
        <w:pStyle w:val="ListBullet"/>
      </w:pPr>
      <w:r>
        <w:t>Floor 3 break-room occupancy by executives has reached 100% between 2 and 4 p.m. Associates have been “invited” to use the Floor 2 kitchen instead.</w:t>
      </w:r>
    </w:p>
    <w:p>
      <w:pPr>
        <w:pStyle w:val="ListBullet"/>
      </w:pPr>
      <w:r>
        <w:t>The Third Floor break room is now Sovereign Executive Territory.</w:t>
      </w:r>
    </w:p>
    <w:p>
      <w:pPr>
        <w:pStyle w:val="Heading2"/>
      </w:pPr>
      <w:r>
        <w:t>Action items</w:t>
      </w:r>
    </w:p>
    <w:p>
      <w:pPr>
        <w:pStyle w:val="ListBullet"/>
      </w:pPr>
      <w:r>
        <w:t>Tuxedo will finalize the seating chart for the “peaceful annexation” of the Third Floor break room by October 30.</w:t>
      </w:r>
    </w:p>
    <w:p>
      <w:pPr>
        <w:pStyle w:val="ListBullet"/>
      </w:pPr>
      <w:r>
        <w:t>Dale will file form HR-12b — “Request for Additional Lap Time” — by October 27.</w:t>
      </w:r>
    </w:p>
    <w:p>
      <w:pPr>
        <w:pStyle w:val="Heading2"/>
      </w:pPr>
      <w:r>
        <w:t>Parking lot</w:t>
      </w:r>
    </w:p>
    <w:p>
      <w:pPr>
        <w:pStyle w:val="ListBullet"/>
      </w:pPr>
      <w:r>
        <w:t>Someone should probably look into the stapler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