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338AD">
      <w:pPr>
        <w:pStyle w:val="31"/>
        <w:jc w:val="center"/>
      </w:pPr>
      <w:r>
        <w:rPr>
          <w:rFonts w:ascii="微软雅黑" w:hAnsi="微软雅黑" w:eastAsia="微软雅黑"/>
          <w:color w:val="1F3864"/>
          <w:sz w:val="36"/>
        </w:rPr>
        <w:t>阶段1_输入读取与路线识别</w:t>
      </w:r>
    </w:p>
    <w:p w14:paraId="6C777697">
      <w:pPr>
        <w:pStyle w:val="3"/>
      </w:pPr>
      <w:bookmarkStart w:id="0" w:name="_GoBack"/>
      <w:bookmarkEnd w:id="0"/>
      <w:r>
        <w:t>路线识别、表达主场、首批受众收窄与技巧库挂载规则</w:t>
      </w:r>
    </w:p>
    <w:p w14:paraId="31E2711E">
      <w:pPr>
        <w:pStyle w:val="3"/>
        <w:spacing w:after="60"/>
      </w:pPr>
      <w:r>
        <w:rPr>
          <w:rFonts w:ascii="微软雅黑" w:hAnsi="微软雅黑" w:eastAsia="微软雅黑"/>
          <w:b/>
        </w:rPr>
        <w:t>ToB / ToC 路线识别规则表</w:t>
      </w:r>
    </w:p>
    <w:p w14:paraId="6D95FEC3">
      <w:pPr>
        <w:spacing w:after="60"/>
      </w:pPr>
      <w:r>
        <w:rPr>
          <w:rFonts w:ascii="微软雅黑" w:hAnsi="微软雅黑" w:eastAsia="微软雅黑"/>
        </w:rPr>
        <w:t>用于第二环节 IP 分析系统的路由识别与单智能体生成前置规范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320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EAF2F8"/>
          </w:tcPr>
          <w:p w14:paraId="028BEA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使用说明：本规则表用于在生成 IP 分析报告前，先自动判断用户属于 ToB 创始人 IP 还是 ToC 个人 IP，并将判定结果作为后续所有模块的前置路由条件。</w:t>
            </w:r>
          </w:p>
        </w:tc>
      </w:tr>
    </w:tbl>
    <w:p w14:paraId="1BD72C84"/>
    <w:p w14:paraId="45D19935">
      <w:pPr>
        <w:pStyle w:val="3"/>
        <w:spacing w:after="60"/>
      </w:pPr>
      <w:r>
        <w:rPr>
          <w:rFonts w:ascii="微软雅黑" w:hAnsi="微软雅黑" w:eastAsia="微软雅黑"/>
          <w:b/>
        </w:rPr>
        <w:t>一、文档目标</w:t>
      </w:r>
    </w:p>
    <w:p w14:paraId="2EAEB5E0">
      <w:pPr>
        <w:pStyle w:val="16"/>
        <w:spacing w:after="60"/>
      </w:pPr>
      <w:r>
        <w:rPr>
          <w:rFonts w:ascii="微软雅黑" w:hAnsi="微软雅黑" w:eastAsia="微软雅黑"/>
        </w:rPr>
        <w:t>本规则表用于在第二环节正式生成 IP 分析报告之前，先自动判断用户属于哪一条主路线：ToB 创始人 IP 或 ToC 个人 IP。</w:t>
      </w:r>
    </w:p>
    <w:p w14:paraId="0FB3B687">
      <w:pPr>
        <w:pStyle w:val="16"/>
        <w:spacing w:after="60"/>
      </w:pPr>
      <w:r>
        <w:rPr>
          <w:rFonts w:ascii="微软雅黑" w:hAnsi="微软雅黑" w:eastAsia="微软雅黑"/>
        </w:rPr>
        <w:t>判定结果将直接作为后续全部模块的前置路由条件，确保账号定位、内容规划、平台建议、转化建议不跑偏。</w:t>
      </w:r>
    </w:p>
    <w:p w14:paraId="21E9BD61">
      <w:pPr>
        <w:pStyle w:val="16"/>
        <w:spacing w:after="60"/>
      </w:pPr>
      <w:r>
        <w:rPr>
          <w:rFonts w:ascii="微软雅黑" w:hAnsi="微软雅黑" w:eastAsia="微软雅黑"/>
        </w:rPr>
        <w:t>系统需能够处理典型 ToB、典型 ToC 与混合型用户，但正式生成时只允许走一条主路线。</w:t>
      </w:r>
    </w:p>
    <w:p w14:paraId="4019CA6E">
      <w:pPr>
        <w:pStyle w:val="3"/>
        <w:spacing w:after="60"/>
      </w:pPr>
      <w:r>
        <w:rPr>
          <w:rFonts w:ascii="微软雅黑" w:hAnsi="微软雅黑" w:eastAsia="微软雅黑"/>
          <w:b/>
        </w:rPr>
        <w:t>二、适用范围</w:t>
      </w:r>
    </w:p>
    <w:p w14:paraId="0D2A258F">
      <w:pPr>
        <w:pStyle w:val="16"/>
        <w:spacing w:after="60"/>
      </w:pPr>
      <w:r>
        <w:rPr>
          <w:rFonts w:ascii="微软雅黑" w:hAnsi="微软雅黑" w:eastAsia="微软雅黑"/>
        </w:rPr>
        <w:t>适用于所有已完成第一环节 AI 访谈与信息收集，并产出结构化访谈报告的用户。</w:t>
      </w:r>
    </w:p>
    <w:p w14:paraId="13B90AB8">
      <w:pPr>
        <w:pStyle w:val="16"/>
        <w:spacing w:after="60"/>
      </w:pPr>
      <w:r>
        <w:rPr>
          <w:rFonts w:ascii="微软雅黑" w:hAnsi="微软雅黑" w:eastAsia="微软雅黑"/>
        </w:rPr>
        <w:t>典型对象包括：创始人、联合创始人、企业负责人、顾问/咨询师、培训老师、个人品牌创业者、高客单服务从业者、面向个人消费者的内容型用户。</w:t>
      </w:r>
    </w:p>
    <w:p w14:paraId="3519F08D">
      <w:pPr>
        <w:pStyle w:val="3"/>
        <w:spacing w:after="60"/>
      </w:pPr>
      <w:r>
        <w:rPr>
          <w:rFonts w:ascii="微软雅黑" w:hAnsi="微软雅黑" w:eastAsia="微软雅黑"/>
          <w:b/>
        </w:rPr>
        <w:t>三、路线定义</w:t>
      </w:r>
    </w:p>
    <w:p w14:paraId="31CC10C2">
      <w:pPr>
        <w:pStyle w:val="4"/>
        <w:spacing w:after="60"/>
      </w:pPr>
      <w:r>
        <w:rPr>
          <w:rFonts w:ascii="微软雅黑" w:hAnsi="微软雅黑" w:eastAsia="微软雅黑"/>
          <w:b/>
        </w:rPr>
        <w:t>ToB 创始人 IP 定义</w:t>
      </w:r>
    </w:p>
    <w:p w14:paraId="587790E2">
      <w:pPr>
        <w:spacing w:after="60"/>
      </w:pPr>
      <w:r>
        <w:rPr>
          <w:rFonts w:ascii="微软雅黑" w:hAnsi="微软雅黑" w:eastAsia="微软雅黑"/>
        </w:rPr>
        <w:t>符合以下核心特征中的多数：</w:t>
      </w:r>
    </w:p>
    <w:p w14:paraId="0C4A13AC">
      <w:pPr>
        <w:pStyle w:val="16"/>
        <w:spacing w:after="60"/>
      </w:pPr>
      <w:r>
        <w:rPr>
          <w:rFonts w:ascii="微软雅黑" w:hAnsi="微软雅黑" w:eastAsia="微软雅黑"/>
        </w:rPr>
        <w:t>产品或服务主要面向企业、工厂、政府、机构、组织。</w:t>
      </w:r>
    </w:p>
    <w:p w14:paraId="1D8C6841">
      <w:pPr>
        <w:pStyle w:val="16"/>
        <w:spacing w:after="60"/>
      </w:pPr>
      <w:r>
        <w:rPr>
          <w:rFonts w:ascii="微软雅黑" w:hAnsi="微软雅黑" w:eastAsia="微软雅黑"/>
        </w:rPr>
        <w:t>成交对象不是普通个人，而是组织中的决策者/影响者。</w:t>
      </w:r>
    </w:p>
    <w:p w14:paraId="61292E18">
      <w:pPr>
        <w:pStyle w:val="16"/>
        <w:spacing w:after="60"/>
      </w:pPr>
      <w:r>
        <w:rPr>
          <w:rFonts w:ascii="微软雅黑" w:hAnsi="微软雅黑" w:eastAsia="微软雅黑"/>
        </w:rPr>
        <w:t>决策链条较长，成交更依赖专业信任、案例证明、行业理解、服务逻辑和结果交付。</w:t>
      </w:r>
    </w:p>
    <w:p w14:paraId="2A10680D">
      <w:pPr>
        <w:pStyle w:val="16"/>
        <w:spacing w:after="60"/>
      </w:pPr>
      <w:r>
        <w:rPr>
          <w:rFonts w:ascii="微软雅黑" w:hAnsi="微软雅黑" w:eastAsia="微软雅黑"/>
        </w:rPr>
        <w:t>内容主要服务于建立信任、客户教育、咨询前筛选和成交前认知铺垫。</w:t>
      </w:r>
    </w:p>
    <w:p w14:paraId="2C1026E7">
      <w:pPr>
        <w:pStyle w:val="5"/>
        <w:spacing w:after="60"/>
      </w:pPr>
      <w:r>
        <w:rPr>
          <w:rFonts w:ascii="微软雅黑" w:hAnsi="微软雅黑" w:eastAsia="微软雅黑"/>
          <w:b/>
        </w:rPr>
        <w:t>典型例子：</w:t>
      </w:r>
    </w:p>
    <w:p w14:paraId="59481E7F">
      <w:pPr>
        <w:pStyle w:val="16"/>
        <w:spacing w:after="60"/>
      </w:pPr>
      <w:r>
        <w:rPr>
          <w:rFonts w:ascii="微软雅黑" w:hAnsi="微软雅黑" w:eastAsia="微软雅黑"/>
        </w:rPr>
        <w:t>企业服务公司创始人</w:t>
      </w:r>
    </w:p>
    <w:p w14:paraId="5E47B04C">
      <w:pPr>
        <w:pStyle w:val="16"/>
        <w:spacing w:after="60"/>
      </w:pPr>
      <w:r>
        <w:rPr>
          <w:rFonts w:ascii="微软雅黑" w:hAnsi="微软雅黑" w:eastAsia="微软雅黑"/>
        </w:rPr>
        <w:t>制造业老板</w:t>
      </w:r>
    </w:p>
    <w:p w14:paraId="7A88D0E7">
      <w:pPr>
        <w:pStyle w:val="16"/>
        <w:spacing w:after="60"/>
      </w:pPr>
      <w:r>
        <w:rPr>
          <w:rFonts w:ascii="微软雅黑" w:hAnsi="微软雅黑" w:eastAsia="微软雅黑"/>
        </w:rPr>
        <w:t>展厅设计施工公司负责人</w:t>
      </w:r>
    </w:p>
    <w:p w14:paraId="5BD767D4">
      <w:pPr>
        <w:pStyle w:val="16"/>
        <w:spacing w:after="60"/>
      </w:pPr>
      <w:r>
        <w:rPr>
          <w:rFonts w:ascii="微软雅黑" w:hAnsi="微软雅黑" w:eastAsia="微软雅黑"/>
        </w:rPr>
        <w:t>系统集成/软件服务商</w:t>
      </w:r>
    </w:p>
    <w:p w14:paraId="1DF0ACC2">
      <w:pPr>
        <w:pStyle w:val="16"/>
        <w:spacing w:after="60"/>
      </w:pPr>
      <w:r>
        <w:rPr>
          <w:rFonts w:ascii="微软雅黑" w:hAnsi="微软雅黑" w:eastAsia="微软雅黑"/>
        </w:rPr>
        <w:t>咨询顾问型 ToB 创业者</w:t>
      </w:r>
    </w:p>
    <w:p w14:paraId="116ABCAE">
      <w:pPr>
        <w:pStyle w:val="16"/>
        <w:spacing w:after="60"/>
      </w:pPr>
      <w:r>
        <w:rPr>
          <w:rFonts w:ascii="微软雅黑" w:hAnsi="微软雅黑" w:eastAsia="微软雅黑"/>
        </w:rPr>
        <w:t>政企项目服务提供方</w:t>
      </w:r>
    </w:p>
    <w:p w14:paraId="690CBA85">
      <w:pPr>
        <w:pStyle w:val="4"/>
        <w:spacing w:after="60"/>
      </w:pPr>
      <w:r>
        <w:rPr>
          <w:rFonts w:ascii="微软雅黑" w:hAnsi="微软雅黑" w:eastAsia="微软雅黑"/>
          <w:b/>
        </w:rPr>
        <w:t>ToC 个人 IP 定义</w:t>
      </w:r>
    </w:p>
    <w:p w14:paraId="69C11498">
      <w:pPr>
        <w:spacing w:after="60"/>
      </w:pPr>
      <w:r>
        <w:rPr>
          <w:rFonts w:ascii="微软雅黑" w:hAnsi="微软雅黑" w:eastAsia="微软雅黑"/>
        </w:rPr>
        <w:t>符合以下核心特征中的多数：</w:t>
      </w:r>
    </w:p>
    <w:p w14:paraId="3D93D7FD">
      <w:pPr>
        <w:pStyle w:val="16"/>
        <w:spacing w:after="60"/>
      </w:pPr>
      <w:r>
        <w:rPr>
          <w:rFonts w:ascii="微软雅黑" w:hAnsi="微软雅黑" w:eastAsia="微软雅黑"/>
        </w:rPr>
        <w:t>产品或服务主要面向个人消费者。</w:t>
      </w:r>
    </w:p>
    <w:p w14:paraId="3CE31B38">
      <w:pPr>
        <w:pStyle w:val="16"/>
        <w:spacing w:after="60"/>
      </w:pPr>
      <w:r>
        <w:rPr>
          <w:rFonts w:ascii="微软雅黑" w:hAnsi="微软雅黑" w:eastAsia="微软雅黑"/>
        </w:rPr>
        <w:t>成交对象是个人，而不是组织。</w:t>
      </w:r>
    </w:p>
    <w:p w14:paraId="7C428E07">
      <w:pPr>
        <w:pStyle w:val="16"/>
        <w:spacing w:after="60"/>
      </w:pPr>
      <w:r>
        <w:rPr>
          <w:rFonts w:ascii="微软雅黑" w:hAnsi="微软雅黑" w:eastAsia="微软雅黑"/>
        </w:rPr>
        <w:t>决策链较短，成交更依赖情绪共鸣、个人吸引力、生活方式认同、内容互动和体验感受。</w:t>
      </w:r>
    </w:p>
    <w:p w14:paraId="64AE53B9">
      <w:pPr>
        <w:pStyle w:val="16"/>
        <w:spacing w:after="60"/>
      </w:pPr>
      <w:r>
        <w:rPr>
          <w:rFonts w:ascii="微软雅黑" w:hAnsi="微软雅黑" w:eastAsia="微软雅黑"/>
        </w:rPr>
        <w:t>内容主要服务于吸引关注、激发兴趣、建立喜好以及促进个人购买或加入社群。</w:t>
      </w:r>
    </w:p>
    <w:p w14:paraId="08382B09">
      <w:pPr>
        <w:pStyle w:val="5"/>
        <w:spacing w:after="60"/>
      </w:pPr>
      <w:r>
        <w:rPr>
          <w:rFonts w:ascii="微软雅黑" w:hAnsi="微软雅黑" w:eastAsia="微软雅黑"/>
          <w:b/>
        </w:rPr>
        <w:t>典型例子：</w:t>
      </w:r>
    </w:p>
    <w:p w14:paraId="0092F94E">
      <w:pPr>
        <w:pStyle w:val="16"/>
        <w:spacing w:after="60"/>
      </w:pPr>
      <w:r>
        <w:rPr>
          <w:rFonts w:ascii="微软雅黑" w:hAnsi="微软雅黑" w:eastAsia="微软雅黑"/>
        </w:rPr>
        <w:t>个人成长博主</w:t>
      </w:r>
    </w:p>
    <w:p w14:paraId="38885AF4">
      <w:pPr>
        <w:pStyle w:val="16"/>
        <w:spacing w:after="60"/>
      </w:pPr>
      <w:r>
        <w:rPr>
          <w:rFonts w:ascii="微软雅黑" w:hAnsi="微软雅黑" w:eastAsia="微软雅黑"/>
        </w:rPr>
        <w:t>情感/生活方式博主</w:t>
      </w:r>
    </w:p>
    <w:p w14:paraId="5F769900">
      <w:pPr>
        <w:pStyle w:val="16"/>
        <w:spacing w:after="60"/>
      </w:pPr>
      <w:r>
        <w:rPr>
          <w:rFonts w:ascii="微软雅黑" w:hAnsi="微软雅黑" w:eastAsia="微软雅黑"/>
        </w:rPr>
        <w:t>面向个人的咨询师/教练</w:t>
      </w:r>
    </w:p>
    <w:p w14:paraId="6B87CAF2">
      <w:pPr>
        <w:pStyle w:val="16"/>
        <w:spacing w:after="60"/>
      </w:pPr>
      <w:r>
        <w:rPr>
          <w:rFonts w:ascii="微软雅黑" w:hAnsi="微软雅黑" w:eastAsia="微软雅黑"/>
        </w:rPr>
        <w:t>课程知识付费型个人 IP</w:t>
      </w:r>
    </w:p>
    <w:p w14:paraId="01949894">
      <w:pPr>
        <w:pStyle w:val="16"/>
        <w:spacing w:after="60"/>
      </w:pPr>
      <w:r>
        <w:rPr>
          <w:rFonts w:ascii="微软雅黑" w:hAnsi="微软雅黑" w:eastAsia="微软雅黑"/>
        </w:rPr>
        <w:t>面向个人的服务型创作者</w:t>
      </w:r>
    </w:p>
    <w:p w14:paraId="0E1B4E27">
      <w:pPr>
        <w:pStyle w:val="16"/>
        <w:spacing w:after="60"/>
      </w:pPr>
      <w:r>
        <w:rPr>
          <w:rFonts w:ascii="微软雅黑" w:hAnsi="微软雅黑" w:eastAsia="微软雅黑"/>
        </w:rPr>
        <w:t>小众兴趣/技能型博主</w:t>
      </w:r>
    </w:p>
    <w:p w14:paraId="52C68DC4">
      <w:pPr>
        <w:pStyle w:val="3"/>
        <w:spacing w:after="60"/>
      </w:pPr>
      <w:r>
        <w:rPr>
          <w:rFonts w:ascii="微软雅黑" w:hAnsi="微软雅黑" w:eastAsia="微软雅黑"/>
          <w:b/>
        </w:rPr>
        <w:t>四、核心判定维度</w:t>
      </w:r>
    </w:p>
    <w:p w14:paraId="04597334">
      <w:pPr>
        <w:spacing w:after="60"/>
      </w:pPr>
      <w:r>
        <w:rPr>
          <w:rFonts w:ascii="微软雅黑" w:hAnsi="微软雅黑" w:eastAsia="微软雅黑"/>
        </w:rPr>
        <w:t>建议用 8 个维度综合判断，而不是只看“用户自称是 ToB 还是 ToC”。</w:t>
      </w:r>
    </w:p>
    <w:p w14:paraId="5FDBE77E">
      <w:pPr>
        <w:pStyle w:val="4"/>
        <w:spacing w:after="60"/>
      </w:pPr>
      <w:r>
        <w:rPr>
          <w:rFonts w:ascii="微软雅黑" w:hAnsi="微软雅黑" w:eastAsia="微软雅黑"/>
          <w:b/>
        </w:rPr>
        <w:t>维度1：目标客户类型</w:t>
      </w:r>
    </w:p>
    <w:p w14:paraId="17CC07B4">
      <w:pPr>
        <w:pStyle w:val="16"/>
        <w:spacing w:after="60"/>
      </w:pPr>
      <w:r>
        <w:rPr>
          <w:rFonts w:ascii="微软雅黑" w:hAnsi="微软雅黑" w:eastAsia="微软雅黑"/>
        </w:rPr>
        <w:t>判断说明：最高优先级维度。判断产品/服务主要卖给谁，最终付钱的人是企业还是个人。</w:t>
      </w:r>
    </w:p>
    <w:p w14:paraId="01DB9900">
      <w:pPr>
        <w:pStyle w:val="16"/>
        <w:spacing w:after="60"/>
      </w:pPr>
      <w:r>
        <w:rPr>
          <w:rFonts w:ascii="微软雅黑" w:hAnsi="微软雅黑" w:eastAsia="微软雅黑"/>
        </w:rPr>
        <w:t>判定规则：明确面向企业/工厂/政府/机构 → ToB 强信号；明确面向个人消费者 → ToC 强信号。</w:t>
      </w:r>
    </w:p>
    <w:p w14:paraId="3CAF9A88">
      <w:pPr>
        <w:pStyle w:val="4"/>
        <w:spacing w:after="60"/>
      </w:pPr>
      <w:r>
        <w:rPr>
          <w:rFonts w:ascii="微软雅黑" w:hAnsi="微软雅黑" w:eastAsia="微软雅黑"/>
          <w:b/>
        </w:rPr>
        <w:t>维度2：主要收入来源</w:t>
      </w:r>
    </w:p>
    <w:p w14:paraId="71672ADE">
      <w:pPr>
        <w:pStyle w:val="16"/>
        <w:spacing w:after="60"/>
      </w:pPr>
      <w:r>
        <w:rPr>
          <w:rFonts w:ascii="微软雅黑" w:hAnsi="微软雅黑" w:eastAsia="微软雅黑"/>
        </w:rPr>
        <w:t>判断说明：看现在主要收入来自哪类客户，最大单笔收入通常来自企业还是个人。</w:t>
      </w:r>
    </w:p>
    <w:p w14:paraId="2D158305">
      <w:pPr>
        <w:pStyle w:val="16"/>
        <w:spacing w:after="60"/>
      </w:pPr>
      <w:r>
        <w:rPr>
          <w:rFonts w:ascii="微软雅黑" w:hAnsi="微软雅黑" w:eastAsia="微软雅黑"/>
        </w:rPr>
        <w:t>判定规则：主要收入来自企业项目服务 → ToB；主要收入来自个人购买/课程/社群/个人服务 → ToC。</w:t>
      </w:r>
    </w:p>
    <w:p w14:paraId="03C9B011">
      <w:pPr>
        <w:pStyle w:val="4"/>
        <w:spacing w:after="60"/>
      </w:pPr>
      <w:r>
        <w:rPr>
          <w:rFonts w:ascii="微软雅黑" w:hAnsi="微软雅黑" w:eastAsia="微软雅黑"/>
          <w:b/>
        </w:rPr>
        <w:t>维度3：成交链路长度</w:t>
      </w:r>
    </w:p>
    <w:p w14:paraId="11B504AC">
      <w:pPr>
        <w:pStyle w:val="16"/>
        <w:spacing w:after="60"/>
      </w:pPr>
      <w:r>
        <w:rPr>
          <w:rFonts w:ascii="微软雅黑" w:hAnsi="微软雅黑" w:eastAsia="微软雅黑"/>
        </w:rPr>
        <w:t>判断说明：看从认识到成交通常要多久，是否需要多轮沟通、方案、比价与审批。</w:t>
      </w:r>
    </w:p>
    <w:p w14:paraId="2E561D58">
      <w:pPr>
        <w:pStyle w:val="16"/>
        <w:spacing w:after="60"/>
      </w:pPr>
      <w:r>
        <w:rPr>
          <w:rFonts w:ascii="微软雅黑" w:hAnsi="微软雅黑" w:eastAsia="微软雅黑"/>
        </w:rPr>
        <w:t>判定规则：较长决策链、多人参与 → ToB；个人快速决策、短链路 → ToC。</w:t>
      </w:r>
    </w:p>
    <w:p w14:paraId="39BBEC34">
      <w:pPr>
        <w:pStyle w:val="4"/>
        <w:spacing w:after="60"/>
      </w:pPr>
      <w:r>
        <w:rPr>
          <w:rFonts w:ascii="微软雅黑" w:hAnsi="微软雅黑" w:eastAsia="微软雅黑"/>
          <w:b/>
        </w:rPr>
        <w:t>维度4：成交依赖因素</w:t>
      </w:r>
    </w:p>
    <w:p w14:paraId="5372DE71">
      <w:pPr>
        <w:pStyle w:val="16"/>
        <w:spacing w:after="60"/>
      </w:pPr>
      <w:r>
        <w:rPr>
          <w:rFonts w:ascii="微软雅黑" w:hAnsi="微软雅黑" w:eastAsia="微软雅黑"/>
        </w:rPr>
        <w:t>判断说明：看客户为什么买，是依赖专业信任，还是依赖个人吸引/情绪打动。</w:t>
      </w:r>
    </w:p>
    <w:p w14:paraId="48EF9563">
      <w:pPr>
        <w:pStyle w:val="16"/>
        <w:spacing w:after="60"/>
      </w:pPr>
      <w:r>
        <w:rPr>
          <w:rFonts w:ascii="微软雅黑" w:hAnsi="微软雅黑" w:eastAsia="微软雅黑"/>
        </w:rPr>
        <w:t>判定规则：依赖专业度、案例、交付能力、组织信任 → ToB；依赖个人魅力、内容吸引力、情绪/痛点共鸣 → ToC。</w:t>
      </w:r>
    </w:p>
    <w:p w14:paraId="5087FDEC">
      <w:pPr>
        <w:pStyle w:val="4"/>
        <w:spacing w:after="60"/>
      </w:pPr>
      <w:r>
        <w:rPr>
          <w:rFonts w:ascii="微软雅黑" w:hAnsi="微软雅黑" w:eastAsia="微软雅黑"/>
          <w:b/>
        </w:rPr>
        <w:t>维度5：内容主要目的</w:t>
      </w:r>
    </w:p>
    <w:p w14:paraId="57C02F4A">
      <w:pPr>
        <w:pStyle w:val="16"/>
        <w:spacing w:after="60"/>
      </w:pPr>
      <w:r>
        <w:rPr>
          <w:rFonts w:ascii="微软雅黑" w:hAnsi="微软雅黑" w:eastAsia="微软雅黑"/>
        </w:rPr>
        <w:t>判断说明：看内容主要服务什么结果。</w:t>
      </w:r>
    </w:p>
    <w:p w14:paraId="63DC154D">
      <w:pPr>
        <w:pStyle w:val="16"/>
        <w:spacing w:after="60"/>
      </w:pPr>
      <w:r>
        <w:rPr>
          <w:rFonts w:ascii="微软雅黑" w:hAnsi="微软雅黑" w:eastAsia="微软雅黑"/>
        </w:rPr>
        <w:t>判定规则：主要服务咨询、线索、成交前教育 → ToB；主要服务吸粉、互动、种草、个人转化 → ToC。</w:t>
      </w:r>
    </w:p>
    <w:p w14:paraId="26698F72">
      <w:pPr>
        <w:pStyle w:val="4"/>
        <w:spacing w:after="60"/>
      </w:pPr>
      <w:r>
        <w:rPr>
          <w:rFonts w:ascii="微软雅黑" w:hAnsi="微软雅黑" w:eastAsia="微软雅黑"/>
          <w:b/>
        </w:rPr>
        <w:t>维度6：典型受众画像</w:t>
      </w:r>
    </w:p>
    <w:p w14:paraId="3BB0887D">
      <w:pPr>
        <w:pStyle w:val="16"/>
        <w:spacing w:after="60"/>
      </w:pPr>
      <w:r>
        <w:rPr>
          <w:rFonts w:ascii="微软雅黑" w:hAnsi="微软雅黑" w:eastAsia="微软雅黑"/>
        </w:rPr>
        <w:t>判断说明：看受众描述的是岗位角色还是生活身份。</w:t>
      </w:r>
    </w:p>
    <w:p w14:paraId="0CD17AE3">
      <w:pPr>
        <w:pStyle w:val="16"/>
        <w:spacing w:after="60"/>
      </w:pPr>
      <w:r>
        <w:rPr>
          <w:rFonts w:ascii="微软雅黑" w:hAnsi="微软雅黑" w:eastAsia="微软雅黑"/>
        </w:rPr>
        <w:t>判定规则：受众以“老板/采购/品牌总监/行政负责人”等角色描述 → ToB；以“宝妈/大学生/女生/职场新人”等个人身份描述 → ToC。</w:t>
      </w:r>
    </w:p>
    <w:p w14:paraId="2FE3A70E">
      <w:pPr>
        <w:pStyle w:val="4"/>
        <w:spacing w:after="60"/>
      </w:pPr>
      <w:r>
        <w:rPr>
          <w:rFonts w:ascii="微软雅黑" w:hAnsi="微软雅黑" w:eastAsia="微软雅黑"/>
          <w:b/>
        </w:rPr>
        <w:t>维度7：内容表达风格</w:t>
      </w:r>
    </w:p>
    <w:p w14:paraId="4AE575C2">
      <w:pPr>
        <w:pStyle w:val="16"/>
        <w:spacing w:after="60"/>
      </w:pPr>
      <w:r>
        <w:rPr>
          <w:rFonts w:ascii="微软雅黑" w:hAnsi="微软雅黑" w:eastAsia="微软雅黑"/>
        </w:rPr>
        <w:t>判断说明：看内容更适合讲行业认知与案例，还是故事、情绪与生活方式。</w:t>
      </w:r>
    </w:p>
    <w:p w14:paraId="2023AD6A">
      <w:pPr>
        <w:pStyle w:val="16"/>
        <w:spacing w:after="60"/>
      </w:pPr>
      <w:r>
        <w:rPr>
          <w:rFonts w:ascii="微软雅黑" w:hAnsi="微软雅黑" w:eastAsia="微软雅黑"/>
        </w:rPr>
        <w:t>判定规则：偏行业观点、决策经验、案例拆解、客户教育 → ToB；偏故事表达、共鸣、个人成长、痛点转变 → ToC。</w:t>
      </w:r>
    </w:p>
    <w:p w14:paraId="208F591E">
      <w:pPr>
        <w:pStyle w:val="4"/>
        <w:spacing w:after="60"/>
      </w:pPr>
      <w:r>
        <w:rPr>
          <w:rFonts w:ascii="微软雅黑" w:hAnsi="微软雅黑" w:eastAsia="微软雅黑"/>
          <w:b/>
        </w:rPr>
        <w:t>维度8：平台优先级倾向</w:t>
      </w:r>
    </w:p>
    <w:p w14:paraId="6C697386">
      <w:pPr>
        <w:pStyle w:val="16"/>
        <w:spacing w:after="60"/>
      </w:pPr>
      <w:r>
        <w:rPr>
          <w:rFonts w:ascii="微软雅黑" w:hAnsi="微软雅黑" w:eastAsia="微软雅黑"/>
        </w:rPr>
        <w:t>判断说明：辅助维度，不单独决定路线。</w:t>
      </w:r>
    </w:p>
    <w:p w14:paraId="1EBD2D2B">
      <w:pPr>
        <w:pStyle w:val="16"/>
        <w:spacing w:after="60"/>
      </w:pPr>
      <w:r>
        <w:rPr>
          <w:rFonts w:ascii="微软雅黑" w:hAnsi="微软雅黑" w:eastAsia="微软雅黑"/>
        </w:rPr>
        <w:t>判定规则：更适合视频号+公众号 → 偏 ToB；更适合抖音+小红书 → 偏 ToC。</w:t>
      </w:r>
    </w:p>
    <w:p w14:paraId="37FF3AA3">
      <w:pPr>
        <w:pStyle w:val="3"/>
        <w:spacing w:after="60"/>
      </w:pPr>
      <w:r>
        <w:rPr>
          <w:rFonts w:ascii="微软雅黑" w:hAnsi="微软雅黑" w:eastAsia="微软雅黑"/>
          <w:b/>
        </w:rPr>
        <w:t>五、判定字段表</w:t>
      </w:r>
    </w:p>
    <w:p w14:paraId="16BD9638">
      <w:pPr>
        <w:spacing w:after="60"/>
      </w:pPr>
      <w:r>
        <w:rPr>
          <w:rFonts w:ascii="微软雅黑" w:hAnsi="微软雅黑" w:eastAsia="微软雅黑"/>
        </w:rPr>
        <w:t>建议在系统中新增以下字段，用于记录路线识别结果与依据。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644"/>
        <w:gridCol w:w="2520"/>
        <w:gridCol w:w="2520"/>
      </w:tblGrid>
      <w:tr w14:paraId="077F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EAF2F8"/>
          </w:tcPr>
          <w:p w14:paraId="4FC656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字段ID</w:t>
            </w:r>
          </w:p>
        </w:tc>
        <w:tc>
          <w:tcPr>
            <w:tcW w:w="2520" w:type="dxa"/>
            <w:shd w:val="clear" w:color="auto" w:fill="EAF2F8"/>
          </w:tcPr>
          <w:p w14:paraId="7D885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字段名称</w:t>
            </w:r>
          </w:p>
        </w:tc>
        <w:tc>
          <w:tcPr>
            <w:tcW w:w="2520" w:type="dxa"/>
            <w:shd w:val="clear" w:color="auto" w:fill="EAF2F8"/>
          </w:tcPr>
          <w:p w14:paraId="3C1327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2520" w:type="dxa"/>
            <w:shd w:val="clear" w:color="auto" w:fill="EAF2F8"/>
          </w:tcPr>
          <w:p w14:paraId="1BF41C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22B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AB64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RT01</w:t>
            </w:r>
          </w:p>
        </w:tc>
        <w:tc>
          <w:tcPr>
            <w:tcW w:w="2520" w:type="dxa"/>
          </w:tcPr>
          <w:p w14:paraId="0EB460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ip_route_type</w:t>
            </w:r>
          </w:p>
        </w:tc>
        <w:tc>
          <w:tcPr>
            <w:tcW w:w="2520" w:type="dxa"/>
          </w:tcPr>
          <w:p w14:paraId="0293E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67334E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TobFounder / TocPersonal</w:t>
            </w:r>
          </w:p>
        </w:tc>
      </w:tr>
      <w:tr w14:paraId="035C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5E689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RT02</w:t>
            </w:r>
          </w:p>
        </w:tc>
        <w:tc>
          <w:tcPr>
            <w:tcW w:w="2520" w:type="dxa"/>
          </w:tcPr>
          <w:p w14:paraId="065C9E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ip_route_confidence</w:t>
            </w:r>
          </w:p>
        </w:tc>
        <w:tc>
          <w:tcPr>
            <w:tcW w:w="2520" w:type="dxa"/>
          </w:tcPr>
          <w:p w14:paraId="12B28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数值</w:t>
            </w:r>
          </w:p>
        </w:tc>
        <w:tc>
          <w:tcPr>
            <w:tcW w:w="2520" w:type="dxa"/>
          </w:tcPr>
          <w:p w14:paraId="22430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0-100 的置信度</w:t>
            </w:r>
          </w:p>
        </w:tc>
      </w:tr>
      <w:tr w14:paraId="5A79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76A1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RT03</w:t>
            </w:r>
          </w:p>
        </w:tc>
        <w:tc>
          <w:tcPr>
            <w:tcW w:w="2520" w:type="dxa"/>
          </w:tcPr>
          <w:p w14:paraId="4DD9B0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ip_route_evidence</w:t>
            </w:r>
          </w:p>
        </w:tc>
        <w:tc>
          <w:tcPr>
            <w:tcW w:w="2520" w:type="dxa"/>
          </w:tcPr>
          <w:p w14:paraId="55764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数组</w:t>
            </w:r>
          </w:p>
        </w:tc>
        <w:tc>
          <w:tcPr>
            <w:tcW w:w="2520" w:type="dxa"/>
          </w:tcPr>
          <w:p w14:paraId="3B51C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判定依据列表</w:t>
            </w:r>
          </w:p>
        </w:tc>
      </w:tr>
      <w:tr w14:paraId="76ED4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56698B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RT04</w:t>
            </w:r>
          </w:p>
        </w:tc>
        <w:tc>
          <w:tcPr>
            <w:tcW w:w="2520" w:type="dxa"/>
          </w:tcPr>
          <w:p w14:paraId="6006AE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target_customer_type</w:t>
            </w:r>
          </w:p>
        </w:tc>
        <w:tc>
          <w:tcPr>
            <w:tcW w:w="2520" w:type="dxa"/>
          </w:tcPr>
          <w:p w14:paraId="0302F6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2D81C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企业 / 个人 / 混合</w:t>
            </w:r>
          </w:p>
        </w:tc>
      </w:tr>
      <w:tr w14:paraId="6322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662A9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RT05</w:t>
            </w:r>
          </w:p>
        </w:tc>
        <w:tc>
          <w:tcPr>
            <w:tcW w:w="2520" w:type="dxa"/>
          </w:tcPr>
          <w:p w14:paraId="229514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primary_revenue_source</w:t>
            </w:r>
          </w:p>
        </w:tc>
        <w:tc>
          <w:tcPr>
            <w:tcW w:w="2520" w:type="dxa"/>
          </w:tcPr>
          <w:p w14:paraId="7B348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文本</w:t>
            </w:r>
          </w:p>
        </w:tc>
        <w:tc>
          <w:tcPr>
            <w:tcW w:w="2520" w:type="dxa"/>
          </w:tcPr>
          <w:p w14:paraId="6FD1A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主要收入来源</w:t>
            </w:r>
          </w:p>
        </w:tc>
      </w:tr>
      <w:tr w14:paraId="2A9D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5BDAE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RT06</w:t>
            </w:r>
          </w:p>
        </w:tc>
        <w:tc>
          <w:tcPr>
            <w:tcW w:w="2520" w:type="dxa"/>
          </w:tcPr>
          <w:p w14:paraId="198DD4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decision_chain_type</w:t>
            </w:r>
          </w:p>
        </w:tc>
        <w:tc>
          <w:tcPr>
            <w:tcW w:w="2520" w:type="dxa"/>
          </w:tcPr>
          <w:p w14:paraId="228BA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4BA3D3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长决策 / 中决策 / 短决策</w:t>
            </w:r>
          </w:p>
        </w:tc>
      </w:tr>
      <w:tr w14:paraId="15E5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91C2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RT07</w:t>
            </w:r>
          </w:p>
        </w:tc>
        <w:tc>
          <w:tcPr>
            <w:tcW w:w="2520" w:type="dxa"/>
          </w:tcPr>
          <w:p w14:paraId="4B9FC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buyer_roles</w:t>
            </w:r>
          </w:p>
        </w:tc>
        <w:tc>
          <w:tcPr>
            <w:tcW w:w="2520" w:type="dxa"/>
          </w:tcPr>
          <w:p w14:paraId="57FB7D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数组</w:t>
            </w:r>
          </w:p>
        </w:tc>
        <w:tc>
          <w:tcPr>
            <w:tcW w:w="2520" w:type="dxa"/>
          </w:tcPr>
          <w:p w14:paraId="125D6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主要决策者或购买者</w:t>
            </w:r>
          </w:p>
        </w:tc>
      </w:tr>
      <w:tr w14:paraId="2D5B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C42D8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RT08</w:t>
            </w:r>
          </w:p>
        </w:tc>
        <w:tc>
          <w:tcPr>
            <w:tcW w:w="2520" w:type="dxa"/>
          </w:tcPr>
          <w:p w14:paraId="7CFE10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primary_content_goal</w:t>
            </w:r>
          </w:p>
        </w:tc>
        <w:tc>
          <w:tcPr>
            <w:tcW w:w="2520" w:type="dxa"/>
          </w:tcPr>
          <w:p w14:paraId="0719C5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48E58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曝光 / 信任 / 咨询 / 成交 / 种草</w:t>
            </w:r>
          </w:p>
        </w:tc>
      </w:tr>
      <w:tr w14:paraId="6464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4245E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RT09</w:t>
            </w:r>
          </w:p>
        </w:tc>
        <w:tc>
          <w:tcPr>
            <w:tcW w:w="2520" w:type="dxa"/>
          </w:tcPr>
          <w:p w14:paraId="1CD97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primary_conversion_object</w:t>
            </w:r>
          </w:p>
        </w:tc>
        <w:tc>
          <w:tcPr>
            <w:tcW w:w="2520" w:type="dxa"/>
          </w:tcPr>
          <w:p w14:paraId="5AF01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750E1E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企业客户 / 个人客户</w:t>
            </w:r>
          </w:p>
        </w:tc>
      </w:tr>
      <w:tr w14:paraId="23E7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4E295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RT10</w:t>
            </w:r>
          </w:p>
        </w:tc>
        <w:tc>
          <w:tcPr>
            <w:tcW w:w="2520" w:type="dxa"/>
          </w:tcPr>
          <w:p w14:paraId="02C37F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secondary_route_type</w:t>
            </w:r>
          </w:p>
        </w:tc>
        <w:tc>
          <w:tcPr>
            <w:tcW w:w="2520" w:type="dxa"/>
          </w:tcPr>
          <w:p w14:paraId="04C40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449374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TobFounder / TocPersonal / None</w:t>
            </w:r>
          </w:p>
        </w:tc>
      </w:tr>
      <w:tr w14:paraId="3A7E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6D965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RT11</w:t>
            </w:r>
          </w:p>
        </w:tc>
        <w:tc>
          <w:tcPr>
            <w:tcW w:w="2520" w:type="dxa"/>
          </w:tcPr>
          <w:p w14:paraId="24CADA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route_risk_note</w:t>
            </w:r>
          </w:p>
        </w:tc>
        <w:tc>
          <w:tcPr>
            <w:tcW w:w="2520" w:type="dxa"/>
          </w:tcPr>
          <w:p w14:paraId="47FD6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文本</w:t>
            </w:r>
          </w:p>
        </w:tc>
        <w:tc>
          <w:tcPr>
            <w:tcW w:w="2520" w:type="dxa"/>
          </w:tcPr>
          <w:p w14:paraId="75DC7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路由模糊点说明</w:t>
            </w:r>
          </w:p>
        </w:tc>
      </w:tr>
      <w:tr w14:paraId="6338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25E0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RT12</w:t>
            </w:r>
          </w:p>
        </w:tc>
        <w:tc>
          <w:tcPr>
            <w:tcW w:w="2520" w:type="dxa"/>
          </w:tcPr>
          <w:p w14:paraId="4DD03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route_final_decision</w:t>
            </w:r>
          </w:p>
        </w:tc>
        <w:tc>
          <w:tcPr>
            <w:tcW w:w="2520" w:type="dxa"/>
          </w:tcPr>
          <w:p w14:paraId="5B9318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单选</w:t>
            </w:r>
          </w:p>
        </w:tc>
        <w:tc>
          <w:tcPr>
            <w:tcW w:w="2520" w:type="dxa"/>
          </w:tcPr>
          <w:p w14:paraId="6F8699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pass / need_more_info / reroute</w:t>
            </w:r>
          </w:p>
        </w:tc>
      </w:tr>
    </w:tbl>
    <w:p w14:paraId="25906D73"/>
    <w:p w14:paraId="1853BEF0">
      <w:pPr>
        <w:pStyle w:val="3"/>
        <w:spacing w:after="60"/>
      </w:pPr>
      <w:r>
        <w:rPr>
          <w:rFonts w:ascii="微软雅黑" w:hAnsi="微软雅黑" w:eastAsia="微软雅黑"/>
          <w:b/>
        </w:rPr>
        <w:t>六、判定打分机制</w:t>
      </w:r>
    </w:p>
    <w:p w14:paraId="4F20ED68">
      <w:pPr>
        <w:spacing w:after="60"/>
      </w:pPr>
      <w:r>
        <w:rPr>
          <w:rFonts w:ascii="微软雅黑" w:hAnsi="微软雅黑" w:eastAsia="微软雅黑"/>
        </w:rPr>
        <w:t>建议不是简单“像 ToB 就判 ToB”，而是为 ToB 与 ToC 两条路线分别打分。</w:t>
      </w:r>
    </w:p>
    <w:p w14:paraId="26C324AF">
      <w:pPr>
        <w:pStyle w:val="4"/>
        <w:spacing w:after="60"/>
      </w:pPr>
      <w:r>
        <w:rPr>
          <w:rFonts w:ascii="微软雅黑" w:hAnsi="微软雅黑" w:eastAsia="微软雅黑"/>
          <w:b/>
        </w:rPr>
        <w:t>1. ToB 分值项（每项 0–2 分，满分 16）</w:t>
      </w:r>
    </w:p>
    <w:p w14:paraId="60E77B90">
      <w:pPr>
        <w:pStyle w:val="16"/>
        <w:spacing w:after="60"/>
      </w:pPr>
      <w:r>
        <w:rPr>
          <w:rFonts w:ascii="微软雅黑" w:hAnsi="微软雅黑" w:eastAsia="微软雅黑"/>
        </w:rPr>
        <w:t>产品/服务面向企业或组织</w:t>
      </w:r>
    </w:p>
    <w:p w14:paraId="76B38CC5">
      <w:pPr>
        <w:pStyle w:val="16"/>
        <w:spacing w:after="60"/>
      </w:pPr>
      <w:r>
        <w:rPr>
          <w:rFonts w:ascii="微软雅黑" w:hAnsi="微软雅黑" w:eastAsia="微软雅黑"/>
        </w:rPr>
        <w:t>主要收入来自企业客户</w:t>
      </w:r>
    </w:p>
    <w:p w14:paraId="44F3CD8A">
      <w:pPr>
        <w:pStyle w:val="16"/>
        <w:spacing w:after="60"/>
      </w:pPr>
      <w:r>
        <w:rPr>
          <w:rFonts w:ascii="微软雅黑" w:hAnsi="微软雅黑" w:eastAsia="微软雅黑"/>
        </w:rPr>
        <w:t>成交链较长</w:t>
      </w:r>
    </w:p>
    <w:p w14:paraId="612B2FF4">
      <w:pPr>
        <w:pStyle w:val="16"/>
        <w:spacing w:after="60"/>
      </w:pPr>
      <w:r>
        <w:rPr>
          <w:rFonts w:ascii="微软雅黑" w:hAnsi="微软雅黑" w:eastAsia="微软雅黑"/>
        </w:rPr>
        <w:t>内容目标偏咨询 / 信任 / 教育</w:t>
      </w:r>
    </w:p>
    <w:p w14:paraId="32BD7237">
      <w:pPr>
        <w:pStyle w:val="16"/>
        <w:spacing w:after="60"/>
      </w:pPr>
      <w:r>
        <w:rPr>
          <w:rFonts w:ascii="微软雅黑" w:hAnsi="微软雅黑" w:eastAsia="微软雅黑"/>
        </w:rPr>
        <w:t>受众描述偏岗位角色</w:t>
      </w:r>
    </w:p>
    <w:p w14:paraId="21E30B94">
      <w:pPr>
        <w:pStyle w:val="16"/>
        <w:spacing w:after="60"/>
      </w:pPr>
      <w:r>
        <w:rPr>
          <w:rFonts w:ascii="微软雅黑" w:hAnsi="微软雅黑" w:eastAsia="微软雅黑"/>
        </w:rPr>
        <w:t>内容风格偏行业 / 案例 / 方法</w:t>
      </w:r>
    </w:p>
    <w:p w14:paraId="7150AACB">
      <w:pPr>
        <w:pStyle w:val="16"/>
        <w:spacing w:after="60"/>
      </w:pPr>
      <w:r>
        <w:rPr>
          <w:rFonts w:ascii="微软雅黑" w:hAnsi="微软雅黑" w:eastAsia="微软雅黑"/>
        </w:rPr>
        <w:t>依赖专业信任与结果</w:t>
      </w:r>
    </w:p>
    <w:p w14:paraId="36A633E6">
      <w:pPr>
        <w:pStyle w:val="16"/>
        <w:spacing w:after="60"/>
      </w:pPr>
      <w:r>
        <w:rPr>
          <w:rFonts w:ascii="微软雅黑" w:hAnsi="微软雅黑" w:eastAsia="微软雅黑"/>
        </w:rPr>
        <w:t>平台更偏视频号 / 公众号</w:t>
      </w:r>
    </w:p>
    <w:p w14:paraId="1C7B9815">
      <w:pPr>
        <w:pStyle w:val="4"/>
        <w:spacing w:after="60"/>
      </w:pPr>
      <w:r>
        <w:rPr>
          <w:rFonts w:ascii="微软雅黑" w:hAnsi="微软雅黑" w:eastAsia="微软雅黑"/>
          <w:b/>
        </w:rPr>
        <w:t>2. ToC 分值项（每项 0–2 分，满分 16）</w:t>
      </w:r>
    </w:p>
    <w:p w14:paraId="36775F48">
      <w:pPr>
        <w:pStyle w:val="16"/>
        <w:spacing w:after="60"/>
      </w:pPr>
      <w:r>
        <w:rPr>
          <w:rFonts w:ascii="微软雅黑" w:hAnsi="微软雅黑" w:eastAsia="微软雅黑"/>
        </w:rPr>
        <w:t>产品/服务面向个人</w:t>
      </w:r>
    </w:p>
    <w:p w14:paraId="54DF0E0B">
      <w:pPr>
        <w:pStyle w:val="16"/>
        <w:spacing w:after="60"/>
      </w:pPr>
      <w:r>
        <w:rPr>
          <w:rFonts w:ascii="微软雅黑" w:hAnsi="微软雅黑" w:eastAsia="微软雅黑"/>
        </w:rPr>
        <w:t>主要收入来自个人客户</w:t>
      </w:r>
    </w:p>
    <w:p w14:paraId="5640633B">
      <w:pPr>
        <w:pStyle w:val="16"/>
        <w:spacing w:after="60"/>
      </w:pPr>
      <w:r>
        <w:rPr>
          <w:rFonts w:ascii="微软雅黑" w:hAnsi="微软雅黑" w:eastAsia="微软雅黑"/>
        </w:rPr>
        <w:t>成交链较短</w:t>
      </w:r>
    </w:p>
    <w:p w14:paraId="0929736C">
      <w:pPr>
        <w:pStyle w:val="16"/>
        <w:spacing w:after="60"/>
      </w:pPr>
      <w:r>
        <w:rPr>
          <w:rFonts w:ascii="微软雅黑" w:hAnsi="微软雅黑" w:eastAsia="微软雅黑"/>
        </w:rPr>
        <w:t>内容目标偏流量 / 互动 / 种草</w:t>
      </w:r>
    </w:p>
    <w:p w14:paraId="334ED9CA">
      <w:pPr>
        <w:pStyle w:val="16"/>
        <w:spacing w:after="60"/>
      </w:pPr>
      <w:r>
        <w:rPr>
          <w:rFonts w:ascii="微软雅黑" w:hAnsi="微软雅黑" w:eastAsia="微软雅黑"/>
        </w:rPr>
        <w:t>受众描述偏个人身份</w:t>
      </w:r>
    </w:p>
    <w:p w14:paraId="742BF9F6">
      <w:pPr>
        <w:pStyle w:val="16"/>
        <w:spacing w:after="60"/>
      </w:pPr>
      <w:r>
        <w:rPr>
          <w:rFonts w:ascii="微软雅黑" w:hAnsi="微软雅黑" w:eastAsia="微软雅黑"/>
        </w:rPr>
        <w:t>内容风格偏故事 / 共鸣 / 生活方式</w:t>
      </w:r>
    </w:p>
    <w:p w14:paraId="046D32BE">
      <w:pPr>
        <w:pStyle w:val="16"/>
        <w:spacing w:after="60"/>
      </w:pPr>
      <w:r>
        <w:rPr>
          <w:rFonts w:ascii="微软雅黑" w:hAnsi="微软雅黑" w:eastAsia="微软雅黑"/>
        </w:rPr>
        <w:t>依赖个人吸引与情绪带动</w:t>
      </w:r>
    </w:p>
    <w:p w14:paraId="2A4DBEA8">
      <w:pPr>
        <w:pStyle w:val="16"/>
        <w:spacing w:after="60"/>
      </w:pPr>
      <w:r>
        <w:rPr>
          <w:rFonts w:ascii="微软雅黑" w:hAnsi="微软雅黑" w:eastAsia="微软雅黑"/>
        </w:rPr>
        <w:t>平台更偏抖音 / 小红书</w:t>
      </w:r>
    </w:p>
    <w:p w14:paraId="59E0DAB7">
      <w:pPr>
        <w:pStyle w:val="4"/>
        <w:spacing w:after="60"/>
      </w:pPr>
      <w:r>
        <w:rPr>
          <w:rFonts w:ascii="微软雅黑" w:hAnsi="微软雅黑" w:eastAsia="微软雅黑"/>
          <w:b/>
        </w:rPr>
        <w:t>3. 最终判定规则</w:t>
      </w:r>
    </w:p>
    <w:p w14:paraId="04550756">
      <w:pPr>
        <w:pStyle w:val="16"/>
        <w:spacing w:after="60"/>
      </w:pPr>
      <w:r>
        <w:rPr>
          <w:rFonts w:ascii="微软雅黑" w:hAnsi="微软雅黑" w:eastAsia="微软雅黑"/>
        </w:rPr>
        <w:t>ToB 分 ≥ 11，且比 ToC 高 3 分以上 → 判定 ToB。</w:t>
      </w:r>
    </w:p>
    <w:p w14:paraId="7312EDAF">
      <w:pPr>
        <w:pStyle w:val="16"/>
        <w:spacing w:after="60"/>
      </w:pPr>
      <w:r>
        <w:rPr>
          <w:rFonts w:ascii="微软雅黑" w:hAnsi="微软雅黑" w:eastAsia="微软雅黑"/>
        </w:rPr>
        <w:t>ToC 分 ≥ 11，且比 ToB 高 3 分以上 → 判定 ToC。</w:t>
      </w:r>
    </w:p>
    <w:p w14:paraId="5E009C0E">
      <w:pPr>
        <w:pStyle w:val="16"/>
        <w:spacing w:after="60"/>
      </w:pPr>
      <w:r>
        <w:rPr>
          <w:rFonts w:ascii="微软雅黑" w:hAnsi="微软雅黑" w:eastAsia="微软雅黑"/>
        </w:rPr>
        <w:t>两边都高但分差 &lt; 3 分 → 进入混合型处理。</w:t>
      </w:r>
    </w:p>
    <w:p w14:paraId="2D4ED2C9">
      <w:pPr>
        <w:pStyle w:val="16"/>
        <w:spacing w:after="60"/>
      </w:pPr>
      <w:r>
        <w:rPr>
          <w:rFonts w:ascii="微软雅黑" w:hAnsi="微软雅黑" w:eastAsia="微软雅黑"/>
        </w:rPr>
        <w:t>两边分都低，或关键字段缺失过多 → 输出 need_more_info。</w:t>
      </w:r>
    </w:p>
    <w:p w14:paraId="253B1E5F">
      <w:pPr>
        <w:pStyle w:val="3"/>
        <w:spacing w:after="60"/>
      </w:pPr>
      <w:r>
        <w:rPr>
          <w:rFonts w:ascii="微软雅黑" w:hAnsi="微软雅黑" w:eastAsia="微软雅黑"/>
          <w:b/>
        </w:rPr>
        <w:t>七、混合型处理规则</w:t>
      </w:r>
    </w:p>
    <w:p w14:paraId="548D95A9">
      <w:pPr>
        <w:pStyle w:val="16"/>
        <w:spacing w:after="60"/>
      </w:pPr>
      <w:r>
        <w:rPr>
          <w:rFonts w:ascii="微软雅黑" w:hAnsi="微软雅黑" w:eastAsia="微软雅黑"/>
        </w:rPr>
        <w:t>现实中会有同时具备 ToB 和 ToC 属性的用户，例如既卖企业咨询，也卖个人课程。</w:t>
      </w:r>
    </w:p>
    <w:p w14:paraId="3BE04694">
      <w:pPr>
        <w:pStyle w:val="16"/>
        <w:spacing w:after="60"/>
      </w:pPr>
      <w:r>
        <w:rPr>
          <w:rFonts w:ascii="微软雅黑" w:hAnsi="微软雅黑" w:eastAsia="微软雅黑"/>
        </w:rPr>
        <w:t>正式生成时只允许走一条主路线，避免整份报告混写。</w:t>
      </w:r>
    </w:p>
    <w:p w14:paraId="5ADAE8D9">
      <w:pPr>
        <w:pStyle w:val="16"/>
        <w:spacing w:after="60"/>
      </w:pPr>
      <w:r>
        <w:rPr>
          <w:rFonts w:ascii="微软雅黑" w:hAnsi="微软雅黑" w:eastAsia="微软雅黑"/>
        </w:rPr>
        <w:t>主路线优先级依次看：主要收入来源 → 最想吸引的客户 → 内容最终要服务的成交对象。</w:t>
      </w:r>
    </w:p>
    <w:p w14:paraId="0E78C724">
      <w:pPr>
        <w:pStyle w:val="16"/>
        <w:spacing w:after="60"/>
      </w:pPr>
      <w:r>
        <w:rPr>
          <w:rFonts w:ascii="微软雅黑" w:hAnsi="微软雅黑" w:eastAsia="微软雅黑"/>
        </w:rPr>
        <w:t>系统可保留 secondary_route_type 作为备注，但不进入主体生成逻辑。</w:t>
      </w:r>
    </w:p>
    <w:p w14:paraId="56639389">
      <w:pPr>
        <w:pStyle w:val="3"/>
        <w:spacing w:after="60"/>
      </w:pPr>
      <w:r>
        <w:rPr>
          <w:rFonts w:ascii="微软雅黑" w:hAnsi="微软雅黑" w:eastAsia="微软雅黑"/>
          <w:b/>
        </w:rPr>
        <w:t>八、路由后的生成原则</w:t>
      </w:r>
    </w:p>
    <w:p w14:paraId="454367F3">
      <w:pPr>
        <w:pStyle w:val="4"/>
        <w:spacing w:after="60"/>
      </w:pPr>
      <w:r>
        <w:rPr>
          <w:rFonts w:ascii="微软雅黑" w:hAnsi="微软雅黑" w:eastAsia="微软雅黑"/>
          <w:b/>
        </w:rPr>
        <w:t>若判定为 ToB，后续生成必须强调：</w:t>
      </w:r>
    </w:p>
    <w:p w14:paraId="2C35FFBA">
      <w:pPr>
        <w:pStyle w:val="16"/>
        <w:spacing w:after="60"/>
      </w:pPr>
      <w:r>
        <w:rPr>
          <w:rFonts w:ascii="微软雅黑" w:hAnsi="微软雅黑" w:eastAsia="微软雅黑"/>
        </w:rPr>
        <w:t>定位更偏专业、行业、信任、价值。</w:t>
      </w:r>
    </w:p>
    <w:p w14:paraId="07C0D278">
      <w:pPr>
        <w:pStyle w:val="16"/>
        <w:spacing w:after="60"/>
      </w:pPr>
      <w:r>
        <w:rPr>
          <w:rFonts w:ascii="微软雅黑" w:hAnsi="微软雅黑" w:eastAsia="微软雅黑"/>
        </w:rPr>
        <w:t>核心受众更偏岗位 / 决策者。</w:t>
      </w:r>
    </w:p>
    <w:p w14:paraId="68B13051">
      <w:pPr>
        <w:pStyle w:val="16"/>
        <w:spacing w:after="60"/>
      </w:pPr>
      <w:r>
        <w:rPr>
          <w:rFonts w:ascii="微软雅黑" w:hAnsi="微软雅黑" w:eastAsia="微软雅黑"/>
        </w:rPr>
        <w:t>高传播切口与高转化切口严格区分。</w:t>
      </w:r>
    </w:p>
    <w:p w14:paraId="2158DD0E">
      <w:pPr>
        <w:pStyle w:val="16"/>
        <w:spacing w:after="60"/>
      </w:pPr>
      <w:r>
        <w:rPr>
          <w:rFonts w:ascii="微软雅黑" w:hAnsi="微软雅黑" w:eastAsia="微软雅黑"/>
        </w:rPr>
        <w:t>平台优先级更偏视频号、公众号。</w:t>
      </w:r>
    </w:p>
    <w:p w14:paraId="5CDD768B">
      <w:pPr>
        <w:pStyle w:val="16"/>
        <w:spacing w:after="60"/>
      </w:pPr>
      <w:r>
        <w:rPr>
          <w:rFonts w:ascii="微软雅黑" w:hAnsi="微软雅黑" w:eastAsia="微软雅黑"/>
        </w:rPr>
        <w:t>私域承接更偏微信 / 企微 / 资料包 / 咨询。</w:t>
      </w:r>
    </w:p>
    <w:p w14:paraId="7E64F37E">
      <w:pPr>
        <w:pStyle w:val="16"/>
        <w:spacing w:after="60"/>
      </w:pPr>
      <w:r>
        <w:rPr>
          <w:rFonts w:ascii="微软雅黑" w:hAnsi="微软雅黑" w:eastAsia="微软雅黑"/>
        </w:rPr>
        <w:t>选题更偏行业误区、案例拆解、决策认知、客户教育、方法逻辑。</w:t>
      </w:r>
    </w:p>
    <w:p w14:paraId="443D8B93">
      <w:pPr>
        <w:pStyle w:val="4"/>
        <w:spacing w:after="60"/>
      </w:pPr>
      <w:r>
        <w:rPr>
          <w:rFonts w:ascii="微软雅黑" w:hAnsi="微软雅黑" w:eastAsia="微软雅黑"/>
          <w:b/>
        </w:rPr>
        <w:t>若判定为 ToC，后续生成必须强调：</w:t>
      </w:r>
    </w:p>
    <w:p w14:paraId="053E3AAE">
      <w:pPr>
        <w:pStyle w:val="16"/>
        <w:spacing w:after="60"/>
      </w:pPr>
      <w:r>
        <w:rPr>
          <w:rFonts w:ascii="微软雅黑" w:hAnsi="微软雅黑" w:eastAsia="微软雅黑"/>
        </w:rPr>
        <w:t>定位更偏个人特色、用户价值、记忆点。</w:t>
      </w:r>
    </w:p>
    <w:p w14:paraId="78FFCF38">
      <w:pPr>
        <w:pStyle w:val="16"/>
        <w:spacing w:after="60"/>
      </w:pPr>
      <w:r>
        <w:rPr>
          <w:rFonts w:ascii="微软雅黑" w:hAnsi="微软雅黑" w:eastAsia="微软雅黑"/>
        </w:rPr>
        <w:t>核心受众更偏个人身份画像。</w:t>
      </w:r>
    </w:p>
    <w:p w14:paraId="2D37D6A3">
      <w:pPr>
        <w:pStyle w:val="16"/>
        <w:spacing w:after="60"/>
      </w:pPr>
      <w:r>
        <w:rPr>
          <w:rFonts w:ascii="微软雅黑" w:hAnsi="微软雅黑" w:eastAsia="微软雅黑"/>
        </w:rPr>
        <w:t>内容更强调痛点、情绪、共鸣、转变。</w:t>
      </w:r>
    </w:p>
    <w:p w14:paraId="4914B68E">
      <w:pPr>
        <w:pStyle w:val="16"/>
        <w:spacing w:after="60"/>
      </w:pPr>
      <w:r>
        <w:rPr>
          <w:rFonts w:ascii="微软雅黑" w:hAnsi="微软雅黑" w:eastAsia="微软雅黑"/>
        </w:rPr>
        <w:t>平台优先级更偏抖音、小红书。</w:t>
      </w:r>
    </w:p>
    <w:p w14:paraId="76493BB3">
      <w:pPr>
        <w:pStyle w:val="16"/>
        <w:spacing w:after="60"/>
      </w:pPr>
      <w:r>
        <w:rPr>
          <w:rFonts w:ascii="微软雅黑" w:hAnsi="微软雅黑" w:eastAsia="微软雅黑"/>
        </w:rPr>
        <w:t>私域承接更偏私信关键词、社群、清单、小课。</w:t>
      </w:r>
    </w:p>
    <w:p w14:paraId="2D8B8A89">
      <w:pPr>
        <w:pStyle w:val="16"/>
        <w:spacing w:after="60"/>
      </w:pPr>
      <w:r>
        <w:rPr>
          <w:rFonts w:ascii="微软雅黑" w:hAnsi="微软雅黑" w:eastAsia="微软雅黑"/>
        </w:rPr>
        <w:t>选题更偏情绪共鸣、个人故事、用户痛点、前后变化、结果展示。</w:t>
      </w:r>
    </w:p>
    <w:p w14:paraId="738B41A5">
      <w:pPr>
        <w:pStyle w:val="3"/>
        <w:spacing w:after="60"/>
      </w:pPr>
      <w:r>
        <w:rPr>
          <w:rFonts w:ascii="微软雅黑" w:hAnsi="微软雅黑" w:eastAsia="微软雅黑"/>
          <w:b/>
        </w:rPr>
        <w:t>九、生成流程中的位置</w:t>
      </w:r>
    </w:p>
    <w:p w14:paraId="1F2E10CC">
      <w:pPr>
        <w:pStyle w:val="16"/>
        <w:spacing w:after="60"/>
      </w:pPr>
      <w:r>
        <w:rPr>
          <w:rFonts w:ascii="微软雅黑" w:hAnsi="微软雅黑" w:eastAsia="微软雅黑"/>
        </w:rPr>
        <w:t>生成前准备：检查第一环节结构化输入是否完整。</w:t>
      </w:r>
    </w:p>
    <w:p w14:paraId="4C4E1AAD">
      <w:pPr>
        <w:pStyle w:val="16"/>
        <w:spacing w:after="60"/>
      </w:pPr>
      <w:r>
        <w:rPr>
          <w:rFonts w:ascii="微软雅黑" w:hAnsi="微软雅黑" w:eastAsia="微软雅黑"/>
        </w:rPr>
        <w:t>步骤1：路线识别 — 由生成智能体先输出 route_type、route_confidence、route_evidence。</w:t>
      </w:r>
    </w:p>
    <w:p w14:paraId="632C6E97">
      <w:pPr>
        <w:pStyle w:val="16"/>
        <w:spacing w:after="60"/>
      </w:pPr>
      <w:r>
        <w:rPr>
          <w:rFonts w:ascii="微软雅黑" w:hAnsi="微软雅黑" w:eastAsia="微软雅黑"/>
        </w:rPr>
        <w:t>步骤2：路线一致性自查 — 检查路由是否清晰、是否需要重判。</w:t>
      </w:r>
    </w:p>
    <w:p w14:paraId="4F594B2E">
      <w:pPr>
        <w:pStyle w:val="16"/>
        <w:spacing w:after="60"/>
      </w:pPr>
      <w:r>
        <w:rPr>
          <w:rFonts w:ascii="微软雅黑" w:hAnsi="微软雅黑" w:eastAsia="微软雅黑"/>
        </w:rPr>
        <w:t>只有路线一致性自查通过后，才能进入正式模块生成。</w:t>
      </w:r>
    </w:p>
    <w:p w14:paraId="178E4E14">
      <w:pPr>
        <w:pStyle w:val="3"/>
        <w:spacing w:after="60"/>
      </w:pPr>
      <w:r>
        <w:rPr>
          <w:rFonts w:ascii="微软雅黑" w:hAnsi="微软雅黑" w:eastAsia="微软雅黑"/>
          <w:b/>
        </w:rPr>
        <w:t>十、生成智能体在路由阶段的输出格式建议</w:t>
      </w:r>
    </w:p>
    <w:p w14:paraId="01AA17FD">
      <w:pPr>
        <w:pStyle w:val="4"/>
        <w:spacing w:after="60"/>
      </w:pPr>
      <w:r>
        <w:rPr>
          <w:rFonts w:ascii="微软雅黑" w:hAnsi="微软雅黑" w:eastAsia="微软雅黑"/>
          <w:b/>
        </w:rPr>
        <w:t>通过示例</w:t>
      </w:r>
    </w:p>
    <w:p w14:paraId="31BA879F">
      <w:pPr>
        <w:spacing w:after="60"/>
      </w:pPr>
      <w:r>
        <w:rPr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"state_id": "S0.5",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"route_type": "TobFounder",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"route_confidence": 86,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"route_evidence": [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"用户核心业务主要面向企业客户",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"主要收入来源为企业项目服务",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"成交依赖案例、方案与信任",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"目标受众为品牌总监与企业负责人"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],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"secondary_route_type": "None",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"route_final_decision": "pass",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"route_risk_note": "当前路由较清晰，无明显混合冲突"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}</w:t>
      </w:r>
    </w:p>
    <w:p w14:paraId="588F0709">
      <w:pPr>
        <w:pStyle w:val="4"/>
        <w:spacing w:after="60"/>
      </w:pPr>
      <w:r>
        <w:rPr>
          <w:rFonts w:ascii="微软雅黑" w:hAnsi="微软雅黑" w:eastAsia="微软雅黑"/>
          <w:b/>
        </w:rPr>
        <w:t>需要补充信息示例</w:t>
      </w:r>
    </w:p>
    <w:p w14:paraId="0B912C49">
      <w:pPr>
        <w:spacing w:after="60"/>
      </w:pPr>
      <w:r>
        <w:rPr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"state_id": "S0.5",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"route_type": "Unknown",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"route_confidence": 48,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"route_evidence": [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"用户业务描述不够明确",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"目标客户既提到企业也提到个人",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"主要收入来源未说明"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],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"route_final_decision": "need_more_info",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"need_more_fields": [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"主要收入来源",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"最想吸引的客户类型",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"内容最终服务的成交对象"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]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}</w:t>
      </w:r>
    </w:p>
    <w:p w14:paraId="69ACCB43">
      <w:pPr>
        <w:pStyle w:val="3"/>
        <w:spacing w:after="60"/>
      </w:pPr>
      <w:r>
        <w:rPr>
          <w:rFonts w:ascii="微软雅黑" w:hAnsi="微软雅黑" w:eastAsia="微软雅黑"/>
          <w:b/>
        </w:rPr>
        <w:t>十一、路由识别后的自查项</w:t>
      </w:r>
    </w:p>
    <w:p w14:paraId="675A1001">
      <w:pPr>
        <w:pStyle w:val="16"/>
        <w:spacing w:after="60"/>
      </w:pPr>
      <w:r>
        <w:rPr>
          <w:rFonts w:ascii="微软雅黑" w:hAnsi="微软雅黑" w:eastAsia="微软雅黑"/>
        </w:rPr>
        <w:t>从主体模块开始，生成智能体在每个模块都要增加“路线匹配度自查”。</w:t>
      </w:r>
    </w:p>
    <w:p w14:paraId="3CF91FB6">
      <w:pPr>
        <w:pStyle w:val="16"/>
        <w:spacing w:after="60"/>
      </w:pPr>
      <w:r>
        <w:rPr>
          <w:rFonts w:ascii="微软雅黑" w:hAnsi="微软雅黑" w:eastAsia="微软雅黑"/>
        </w:rPr>
        <w:t>要判断当前模块内容是否符合判定路线，是否出现 ToB / ToC 混写。</w:t>
      </w:r>
    </w:p>
    <w:p w14:paraId="5D9F96E0">
      <w:pPr>
        <w:pStyle w:val="16"/>
        <w:spacing w:after="60"/>
      </w:pPr>
      <w:r>
        <w:rPr>
          <w:rFonts w:ascii="微软雅黑" w:hAnsi="微软雅黑" w:eastAsia="微软雅黑"/>
        </w:rPr>
        <w:t>一旦发现平台建议、账号风格、选题方向与路线不一致，必须直接重写相关模块，而不是只做轻量措辞优化。</w:t>
      </w:r>
    </w:p>
    <w:p w14:paraId="630746FF">
      <w:pPr>
        <w:pStyle w:val="3"/>
        <w:spacing w:after="60"/>
      </w:pPr>
      <w:r>
        <w:rPr>
          <w:rFonts w:ascii="微软雅黑" w:hAnsi="微软雅黑" w:eastAsia="微软雅黑"/>
          <w:b/>
        </w:rPr>
        <w:t>十二、常见错误判定案例</w:t>
      </w:r>
    </w:p>
    <w:p w14:paraId="3216CBDD">
      <w:pPr>
        <w:pStyle w:val="4"/>
        <w:spacing w:after="60"/>
      </w:pPr>
      <w:r>
        <w:rPr>
          <w:rFonts w:ascii="微软雅黑" w:hAnsi="微软雅黑" w:eastAsia="微软雅黑"/>
          <w:b/>
        </w:rPr>
        <w:t>错误1：明明是 ToB，却写成泛个人博主</w:t>
      </w:r>
    </w:p>
    <w:p w14:paraId="7C531587">
      <w:pPr>
        <w:pStyle w:val="16"/>
        <w:spacing w:after="60"/>
      </w:pPr>
      <w:r>
        <w:rPr>
          <w:rFonts w:ascii="微软雅黑" w:hAnsi="微软雅黑" w:eastAsia="微软雅黑"/>
        </w:rPr>
        <w:t>表现：账号简介太网感、选题全是情绪/成长鸡汤、平台建议全压抖音/小红书、没有咨询前教育与案例逻辑。</w:t>
      </w:r>
    </w:p>
    <w:p w14:paraId="498AEA12">
      <w:pPr>
        <w:pStyle w:val="16"/>
        <w:spacing w:after="60"/>
      </w:pPr>
      <w:r>
        <w:rPr>
          <w:rFonts w:ascii="微软雅黑" w:hAnsi="微软雅黑" w:eastAsia="微软雅黑"/>
        </w:rPr>
        <w:t>处理：重写相关模块，强制恢复 ToB 逻辑。</w:t>
      </w:r>
    </w:p>
    <w:p w14:paraId="7C787415">
      <w:pPr>
        <w:pStyle w:val="4"/>
        <w:spacing w:after="60"/>
      </w:pPr>
      <w:r>
        <w:rPr>
          <w:rFonts w:ascii="微软雅黑" w:hAnsi="微软雅黑" w:eastAsia="微软雅黑"/>
          <w:b/>
        </w:rPr>
        <w:t>错误2：明明是 ToC，却写成企业顾问口吻</w:t>
      </w:r>
    </w:p>
    <w:p w14:paraId="75CA0BD2">
      <w:pPr>
        <w:pStyle w:val="16"/>
        <w:spacing w:after="60"/>
      </w:pPr>
      <w:r>
        <w:rPr>
          <w:rFonts w:ascii="微软雅黑" w:hAnsi="微软雅黑" w:eastAsia="微软雅黑"/>
        </w:rPr>
        <w:t>表现：定位太重专业术语、选题过于案例化/行业化、平台建议不考虑抖音/小红书、私域承接过于企微/咨询。</w:t>
      </w:r>
    </w:p>
    <w:p w14:paraId="3C46A316">
      <w:pPr>
        <w:pStyle w:val="16"/>
        <w:spacing w:after="60"/>
      </w:pPr>
      <w:r>
        <w:rPr>
          <w:rFonts w:ascii="微软雅黑" w:hAnsi="微软雅黑" w:eastAsia="微软雅黑"/>
        </w:rPr>
        <w:t>处理：重写相关模块，强制恢复 ToC 逻辑。</w:t>
      </w:r>
    </w:p>
    <w:p w14:paraId="6BFDFDA6">
      <w:pPr>
        <w:pStyle w:val="4"/>
        <w:spacing w:after="60"/>
      </w:pPr>
      <w:r>
        <w:rPr>
          <w:rFonts w:ascii="微软雅黑" w:hAnsi="微软雅黑" w:eastAsia="微软雅黑"/>
          <w:b/>
        </w:rPr>
        <w:t>错误3：混合型用户报告混写</w:t>
      </w:r>
    </w:p>
    <w:p w14:paraId="0C0B84B2">
      <w:pPr>
        <w:pStyle w:val="16"/>
        <w:spacing w:after="60"/>
      </w:pPr>
      <w:r>
        <w:rPr>
          <w:rFonts w:ascii="微软雅黑" w:hAnsi="微软雅黑" w:eastAsia="微软雅黑"/>
        </w:rPr>
        <w:t>表现：前文像 ToB，后文像 ToC；平台建议与选题风格冲突；核心受众一会儿是老板，一会儿是普通用户。</w:t>
      </w:r>
    </w:p>
    <w:p w14:paraId="59DBECBD">
      <w:pPr>
        <w:pStyle w:val="16"/>
        <w:spacing w:after="60"/>
      </w:pPr>
      <w:r>
        <w:rPr>
          <w:rFonts w:ascii="微软雅黑" w:hAnsi="微软雅黑" w:eastAsia="微软雅黑"/>
        </w:rPr>
        <w:t>处理：回到路线识别步骤重判主路线，并在指定主路线后重新生成。</w:t>
      </w:r>
    </w:p>
    <w:p w14:paraId="25BF9964">
      <w:pPr>
        <w:pStyle w:val="3"/>
        <w:spacing w:after="60"/>
      </w:pPr>
      <w:r>
        <w:rPr>
          <w:rFonts w:ascii="微软雅黑" w:hAnsi="微软雅黑" w:eastAsia="微软雅黑"/>
          <w:b/>
        </w:rPr>
        <w:t>十三、面向个人IP内容主场的补充判定</w:t>
      </w:r>
    </w:p>
    <w:p w14:paraId="0B6D823B">
      <w:pPr>
        <w:pStyle w:val="16"/>
        <w:spacing w:after="60"/>
      </w:pPr>
      <w:r>
        <w:rPr>
          <w:rFonts w:ascii="微软雅黑" w:hAnsi="微软雅黑" w:eastAsia="微软雅黑"/>
        </w:rPr>
        <w:t>路线识别的结果，不仅用于决定报告写成 ToB 还是 ToC，还必须进一步服务“这个人后续应站在哪个内容表达主场说话”。因此，在 route_type 判定通过后，建议继续补充“内容表达主场”“主路线表达方式”“次路线补充方式”“混合表达风险”等信息。</w:t>
      </w:r>
    </w:p>
    <w:p w14:paraId="144F06AD">
      <w:pPr>
        <w:pStyle w:val="16"/>
        <w:spacing w:after="60"/>
      </w:pPr>
      <w:r>
        <w:rPr>
          <w:rFonts w:ascii="微软雅黑" w:hAnsi="微软雅黑" w:eastAsia="微软雅黑"/>
        </w:rPr>
        <w:t>对现实中同时具备 ToB 与 ToC 属性的用户，主路线只决定正式报告主体逻辑；但为了避免后续内容混讲，还需要额外判断：当前内容表达主场更适合站在哪一边、哪些内容可作为次路线补充、哪些内容应谨慎混讲。</w:t>
      </w:r>
    </w:p>
    <w:p w14:paraId="105F8251">
      <w:pPr>
        <w:pStyle w:val="16"/>
        <w:spacing w:after="60"/>
      </w:pPr>
      <w:r>
        <w:rPr>
          <w:rFonts w:ascii="微软雅黑" w:hAnsi="微软雅黑" w:eastAsia="微软雅黑"/>
        </w:rPr>
        <w:t>若 route_type 判定为 ToB，但用户当前对外表达更容易从个人视角破圈，则可保留“主路线为 ToB、表达主场先借 ToC 壳子切入”的说明；反之亦然。但正式主体建议仍只能服从一条主路线，不得把两套逻辑混为一体。</w:t>
      </w:r>
    </w:p>
    <w:p w14:paraId="450E8531">
      <w:pPr>
        <w:pStyle w:val="3"/>
        <w:spacing w:after="60"/>
      </w:pPr>
      <w:r>
        <w:rPr>
          <w:rFonts w:ascii="微软雅黑" w:hAnsi="微软雅黑" w:eastAsia="微软雅黑"/>
          <w:b/>
        </w:rPr>
        <w:t>十四、建议新增的补充判定字段</w:t>
      </w:r>
    </w:p>
    <w:p w14:paraId="56D7A9BB">
      <w:pPr>
        <w:pStyle w:val="16"/>
        <w:spacing w:after="60"/>
      </w:pPr>
      <w:r>
        <w:rPr>
          <w:rFonts w:ascii="微软雅黑" w:hAnsi="微软雅黑" w:eastAsia="微软雅黑"/>
        </w:rPr>
        <w:t>RT13｜primary_expression_arena｜单选｜TobPerspective / TocPerspective｜当前内容表达主场更适合站在哪一边。</w:t>
      </w:r>
    </w:p>
    <w:p w14:paraId="039F9172">
      <w:pPr>
        <w:pStyle w:val="16"/>
        <w:spacing w:after="60"/>
      </w:pPr>
      <w:r>
        <w:rPr>
          <w:rFonts w:ascii="微软雅黑" w:hAnsi="微软雅黑" w:eastAsia="微软雅黑"/>
        </w:rPr>
        <w:t>RT14｜main_route_expression_rule｜文本｜主路线表达方式说明，例如“主体按 ToB 专业信任逻辑展开”。</w:t>
      </w:r>
    </w:p>
    <w:p w14:paraId="7950CB98">
      <w:pPr>
        <w:pStyle w:val="16"/>
        <w:spacing w:after="60"/>
      </w:pPr>
      <w:r>
        <w:rPr>
          <w:rFonts w:ascii="微软雅黑" w:hAnsi="微软雅黑" w:eastAsia="微软雅黑"/>
        </w:rPr>
        <w:t>RT15｜secondary_route_usage_note｜文本｜次路线只允许如何补充，不得如何混讲。</w:t>
      </w:r>
    </w:p>
    <w:p w14:paraId="0190B541">
      <w:pPr>
        <w:pStyle w:val="16"/>
        <w:spacing w:after="60"/>
      </w:pPr>
      <w:r>
        <w:rPr>
          <w:rFonts w:ascii="微软雅黑" w:hAnsi="微软雅黑" w:eastAsia="微软雅黑"/>
        </w:rPr>
        <w:t>RT16｜mixed_expression_risk｜文本｜若混写 ToB / ToC，最可能出现的内容风险。</w:t>
      </w:r>
    </w:p>
    <w:p w14:paraId="28875858">
      <w:pPr>
        <w:pStyle w:val="16"/>
        <w:spacing w:after="60"/>
      </w:pPr>
      <w:r>
        <w:rPr>
          <w:rFonts w:ascii="微软雅黑" w:hAnsi="微软雅黑" w:eastAsia="微软雅黑"/>
        </w:rPr>
        <w:t>RT17｜launch_content_side｜单选｜主路线侧 / 次路线侧 / 混合过渡侧｜首发内容更适合从哪一侧切入。</w:t>
      </w:r>
    </w:p>
    <w:p w14:paraId="7F0C51C2">
      <w:pPr>
        <w:pStyle w:val="3"/>
        <w:spacing w:after="60"/>
      </w:pPr>
      <w:r>
        <w:rPr>
          <w:rFonts w:ascii="微软雅黑" w:hAnsi="微软雅黑" w:eastAsia="微软雅黑"/>
          <w:b/>
        </w:rPr>
        <w:t>十五、路由识别结果必须额外说明的内容</w:t>
      </w:r>
    </w:p>
    <w:p w14:paraId="38CE55AE">
      <w:pPr>
        <w:pStyle w:val="16"/>
        <w:spacing w:after="60"/>
      </w:pPr>
      <w:r>
        <w:rPr>
          <w:rFonts w:ascii="微软雅黑" w:hAnsi="微软雅黑" w:eastAsia="微软雅黑"/>
        </w:rPr>
        <w:t>除 route_type、route_confidence、route_evidence、secondary_route_type 外，建议补充：当前内容表达主场更适合站在哪一边；什么是主路线表达；什么是次路线补充；哪些内容可以讲；哪些内容要谨慎混讲。</w:t>
      </w:r>
    </w:p>
    <w:p w14:paraId="1863156D">
      <w:pPr>
        <w:pStyle w:val="16"/>
        <w:spacing w:after="60"/>
      </w:pPr>
      <w:r>
        <w:rPr>
          <w:rFonts w:ascii="微软雅黑" w:hAnsi="微软雅黑" w:eastAsia="微软雅黑"/>
        </w:rPr>
        <w:t>如果用户现实成交对象偏个人订阅，但洞察与案例来源明显带有 ToB 创始人服务背景，则不能只写“偏 ToC”或“偏 ToB”；还应把“主路线”“表达主场”“混讲风险”三件事分开写清。</w:t>
      </w:r>
    </w:p>
    <w:p w14:paraId="041C0301">
      <w:pPr>
        <w:pStyle w:val="16"/>
        <w:spacing w:after="60"/>
      </w:pPr>
      <w:r>
        <w:rPr>
          <w:rFonts w:ascii="微软雅黑" w:hAnsi="微软雅黑" w:eastAsia="微软雅黑"/>
        </w:rPr>
        <w:t>如果路由明确但内容表达主场不明确，后续模块容易出现：前文像 ToB、后文像 ToC；平台建议和选题风格冲突；核心受众与首发内容不匹配。此类情况视为路线识别不完整。</w:t>
      </w:r>
    </w:p>
    <w:p w14:paraId="1C26B871">
      <w:pPr>
        <w:pStyle w:val="3"/>
        <w:spacing w:after="60"/>
      </w:pPr>
      <w:r>
        <w:rPr>
          <w:rFonts w:ascii="微软雅黑" w:hAnsi="微软雅黑" w:eastAsia="微软雅黑"/>
          <w:b/>
        </w:rPr>
        <w:t>十六、补充判定规则（用于后续IP内容表达）</w:t>
      </w:r>
    </w:p>
    <w:p w14:paraId="465D168E">
      <w:pPr>
        <w:pStyle w:val="16"/>
        <w:spacing w:after="60"/>
      </w:pPr>
      <w:r>
        <w:rPr>
          <w:rFonts w:ascii="微软雅黑" w:hAnsi="微软雅黑" w:eastAsia="微软雅黑"/>
        </w:rPr>
        <w:t>主路线表达：指正式报告与主体建议必须服从的路线逻辑。ToB 主路线下，定位、栏目、平台、转化必须以企业客户、专业信任、案例教育为主；ToC 主路线下，必须以个人用户、痛点共鸣、传播性、人设记忆点为主。</w:t>
      </w:r>
    </w:p>
    <w:p w14:paraId="18AAAE46">
      <w:pPr>
        <w:pStyle w:val="16"/>
        <w:spacing w:after="60"/>
      </w:pPr>
      <w:r>
        <w:rPr>
          <w:rFonts w:ascii="微软雅黑" w:hAnsi="微软雅黑" w:eastAsia="微软雅黑"/>
        </w:rPr>
        <w:t>次路线补充：指允许作为辅助素材出现的内容侧，但不得改变主体内容逻辑。例如 ToB 主路线下，可少量使用个人故事帮助破圈；ToC 主路线下，可少量引用专业案例抬高信任。</w:t>
      </w:r>
    </w:p>
    <w:p w14:paraId="6D652E43">
      <w:pPr>
        <w:pStyle w:val="16"/>
        <w:spacing w:after="60"/>
      </w:pPr>
      <w:r>
        <w:rPr>
          <w:rFonts w:ascii="微软雅黑" w:hAnsi="微软雅黑" w:eastAsia="微软雅黑"/>
        </w:rPr>
        <w:t>混讲风险：若用户同时具备两种属性，但没有明确“什么能混、什么不能混”，最常见的风险是账号定位摇摆、平台错配、选题风格冲突、转化路径断裂。</w:t>
      </w:r>
    </w:p>
    <w:p w14:paraId="499F8052">
      <w:pPr>
        <w:pStyle w:val="16"/>
        <w:spacing w:after="60"/>
      </w:pPr>
      <w:r>
        <w:rPr>
          <w:rFonts w:ascii="微软雅黑" w:hAnsi="微软雅黑" w:eastAsia="微软雅黑"/>
        </w:rPr>
        <w:t>首发切入侧：除主路线外，还应判断首发内容更适合从主路线直接切入，还是先从次路线可传播内容切入，再逐步回归主路线。</w:t>
      </w:r>
    </w:p>
    <w:p w14:paraId="48D5D122">
      <w:pPr>
        <w:pStyle w:val="3"/>
        <w:spacing w:after="60"/>
      </w:pPr>
      <w:r>
        <w:rPr>
          <w:rFonts w:ascii="微软雅黑" w:hAnsi="微软雅黑" w:eastAsia="微软雅黑"/>
          <w:b/>
        </w:rPr>
        <w:t>十七、增强后的路由输出格式建议</w:t>
      </w:r>
    </w:p>
    <w:p w14:paraId="2FF28443">
      <w:pPr>
        <w:spacing w:after="60"/>
      </w:pPr>
      <w:r>
        <w:rPr>
          <w:rFonts w:ascii="微软雅黑" w:hAnsi="微软雅黑" w:eastAsia="微软雅黑"/>
        </w:rPr>
        <w:t>{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"state_id": "S0.5",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"route_type": "TobFounder | TocPersonal",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"route_confidence": 0,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"route_evidence": ["..."],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"secondary_route_type": "TobFounder | TocPersonal | None",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"primary_expression_arena": "TobPerspective | TocPerspective",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"main_route_expression_rule": "主体报告如何服从主路线",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"secondary_route_usage_note": "次路线只允许如何补充",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"mixed_expression_risk": "若混讲最容易出现的风险",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"launch_content_side": "主路线侧 / 次路线侧 / 混合过渡侧",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"route_final_decision": "pass | need_more_info | reroute"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}</w:t>
      </w:r>
    </w:p>
    <w:p w14:paraId="7377279A">
      <w:pPr>
        <w:pStyle w:val="3"/>
        <w:spacing w:after="60"/>
      </w:pPr>
      <w:r>
        <w:rPr>
          <w:rFonts w:ascii="微软雅黑" w:hAnsi="微软雅黑" w:eastAsia="微软雅黑"/>
          <w:b/>
        </w:rPr>
        <w:t>十八、增强版自查补充</w:t>
      </w:r>
    </w:p>
    <w:p w14:paraId="396E2534">
      <w:pPr>
        <w:pStyle w:val="16"/>
        <w:spacing w:after="60"/>
      </w:pPr>
      <w:r>
        <w:rPr>
          <w:rFonts w:ascii="微软雅黑" w:hAnsi="微软雅黑" w:eastAsia="微软雅黑"/>
        </w:rPr>
        <w:t>是否已经不仅判定了 ToB / ToC，还判定了“内容表达主场”。</w:t>
      </w:r>
    </w:p>
    <w:p w14:paraId="45FCCD4D">
      <w:pPr>
        <w:pStyle w:val="16"/>
        <w:spacing w:after="60"/>
      </w:pPr>
      <w:r>
        <w:rPr>
          <w:rFonts w:ascii="微软雅黑" w:hAnsi="微软雅黑" w:eastAsia="微软雅黑"/>
        </w:rPr>
        <w:t>是否已经说明主路线表达、次路线补充与混讲风险。</w:t>
      </w:r>
    </w:p>
    <w:p w14:paraId="78CE637A">
      <w:pPr>
        <w:pStyle w:val="16"/>
        <w:spacing w:after="60"/>
      </w:pPr>
      <w:r>
        <w:rPr>
          <w:rFonts w:ascii="微软雅黑" w:hAnsi="微软雅黑" w:eastAsia="微软雅黑"/>
        </w:rPr>
        <w:t>若首发内容更适合从次路线侧切入，是否已经说明这是“切入策略”，而不是主体路线变更。</w:t>
      </w:r>
    </w:p>
    <w:p w14:paraId="59679E89">
      <w:pPr>
        <w:pStyle w:val="3"/>
        <w:spacing w:after="60"/>
      </w:pPr>
      <w:r>
        <w:rPr>
          <w:rFonts w:ascii="微软雅黑" w:hAnsi="微软雅黑" w:eastAsia="微软雅黑"/>
          <w:b/>
        </w:rPr>
        <w:t>十九、路线识别后与首批用户收窄的联动规则</w:t>
      </w:r>
    </w:p>
    <w:p w14:paraId="04BC0C5C">
      <w:pPr>
        <w:pStyle w:val="16"/>
        <w:spacing w:after="60"/>
      </w:pPr>
      <w:r>
        <w:rPr>
          <w:rFonts w:ascii="微软雅黑" w:hAnsi="微软雅黑" w:eastAsia="微软雅黑"/>
        </w:rPr>
        <w:t>路线识别通过后，不应只停留在 ToB / ToC 主路线判定，还需进一步输出“首批最核心成交对象、次级可覆盖对象、当前不优先服务对象”。</w:t>
      </w:r>
    </w:p>
    <w:p w14:paraId="491833BD">
      <w:pPr>
        <w:pStyle w:val="16"/>
        <w:spacing w:after="60"/>
      </w:pPr>
      <w:r>
        <w:rPr>
          <w:rFonts w:ascii="微软雅黑" w:hAnsi="微软雅黑" w:eastAsia="微软雅黑"/>
        </w:rPr>
        <w:t>若主路线为 ToC，但用户的经验、案例、信任来源大量来自 ToB 服务背景，则应明确：ToB 经验主要作为厚度和信用背书，不得改变首批主受众。</w:t>
      </w:r>
    </w:p>
    <w:p w14:paraId="269DE177">
      <w:pPr>
        <w:pStyle w:val="16"/>
        <w:spacing w:after="60"/>
      </w:pPr>
      <w:r>
        <w:rPr>
          <w:rFonts w:ascii="微软雅黑" w:hAnsi="微软雅黑" w:eastAsia="微软雅黑"/>
        </w:rPr>
        <w:t>若主路线为 ToB，但用户更容易从个人故事或个人视角切入传播，也必须说明这只是表达切入口，不等于改变主体成交对象。</w:t>
      </w:r>
    </w:p>
    <w:p w14:paraId="12E7A4C0">
      <w:pPr>
        <w:pStyle w:val="3"/>
        <w:spacing w:after="60"/>
      </w:pPr>
      <w:r>
        <w:rPr>
          <w:rFonts w:ascii="微软雅黑" w:hAnsi="微软雅黑" w:eastAsia="微软雅黑"/>
          <w:b/>
        </w:rPr>
        <w:t>二十、建议新增的首批受众与表达边界字段</w:t>
      </w:r>
    </w:p>
    <w:p w14:paraId="2A508E66">
      <w:pPr>
        <w:pStyle w:val="16"/>
        <w:spacing w:after="60"/>
      </w:pPr>
      <w:r>
        <w:rPr>
          <w:rFonts w:ascii="微软雅黑" w:hAnsi="微软雅黑" w:eastAsia="微软雅黑"/>
        </w:rPr>
        <w:t>RT18｜first_priority_audience｜文本｜首批最核心成交对象。</w:t>
      </w:r>
    </w:p>
    <w:p w14:paraId="2205F110">
      <w:pPr>
        <w:pStyle w:val="16"/>
        <w:spacing w:after="60"/>
      </w:pPr>
      <w:r>
        <w:rPr>
          <w:rFonts w:ascii="微软雅黑" w:hAnsi="微软雅黑" w:eastAsia="微软雅黑"/>
        </w:rPr>
        <w:t>RT19｜secondary_coverable_audience｜文本或数组｜次级可覆盖对象。</w:t>
      </w:r>
    </w:p>
    <w:p w14:paraId="0F2C4EDD">
      <w:pPr>
        <w:pStyle w:val="16"/>
        <w:spacing w:after="60"/>
      </w:pPr>
      <w:r>
        <w:rPr>
          <w:rFonts w:ascii="微软雅黑" w:hAnsi="微软雅黑" w:eastAsia="微软雅黑"/>
        </w:rPr>
        <w:t>RT20｜deprioritized_audience｜文本或数组｜当前不优先服务对象。</w:t>
      </w:r>
    </w:p>
    <w:p w14:paraId="3923D90F">
      <w:pPr>
        <w:pStyle w:val="16"/>
        <w:spacing w:after="60"/>
      </w:pPr>
      <w:r>
        <w:rPr>
          <w:rFonts w:ascii="微软雅黑" w:hAnsi="微软雅黑" w:eastAsia="微软雅黑"/>
        </w:rPr>
        <w:t>RT21｜route_expression_boundary｜文本｜主路线表达边界说明。</w:t>
      </w:r>
    </w:p>
    <w:p w14:paraId="2C98417A">
      <w:pPr>
        <w:pStyle w:val="16"/>
        <w:spacing w:after="60"/>
      </w:pPr>
      <w:r>
        <w:rPr>
          <w:rFonts w:ascii="微软雅黑" w:hAnsi="微软雅黑" w:eastAsia="微软雅黑"/>
        </w:rPr>
        <w:t>RT22｜credibility_backing_side｜文本｜次路线更适合承担哪类信用背书。</w:t>
      </w:r>
    </w:p>
    <w:p w14:paraId="14F8F70C">
      <w:pPr>
        <w:pStyle w:val="3"/>
        <w:spacing w:after="60"/>
      </w:pPr>
      <w:r>
        <w:rPr>
          <w:rFonts w:ascii="微软雅黑" w:hAnsi="微软雅黑" w:eastAsia="微软雅黑"/>
          <w:b/>
        </w:rPr>
        <w:t>二十一、路线识别结果必须继续回答的关键问题</w:t>
      </w:r>
    </w:p>
    <w:p w14:paraId="64CE07D0">
      <w:pPr>
        <w:pStyle w:val="16"/>
        <w:spacing w:after="60"/>
      </w:pPr>
      <w:r>
        <w:rPr>
          <w:rFonts w:ascii="微软雅黑" w:hAnsi="微软雅黑" w:eastAsia="微软雅黑"/>
        </w:rPr>
        <w:t>这个人的内容表达主场更适合站在哪一边。</w:t>
      </w:r>
    </w:p>
    <w:p w14:paraId="08EAA6D1">
      <w:pPr>
        <w:pStyle w:val="16"/>
        <w:spacing w:after="60"/>
      </w:pPr>
      <w:r>
        <w:rPr>
          <w:rFonts w:ascii="微软雅黑" w:hAnsi="微软雅黑" w:eastAsia="微软雅黑"/>
        </w:rPr>
        <w:t>主路线用于吸引谁、次路线用于证明什么。</w:t>
      </w:r>
    </w:p>
    <w:p w14:paraId="20EDC677">
      <w:pPr>
        <w:pStyle w:val="16"/>
        <w:spacing w:after="60"/>
      </w:pPr>
      <w:r>
        <w:rPr>
          <w:rFonts w:ascii="微软雅黑" w:hAnsi="微软雅黑" w:eastAsia="微软雅黑"/>
        </w:rPr>
        <w:t>哪些内容可以借次路线增加厚度，哪些内容一旦混讲就会导致受众摇摆。</w:t>
      </w:r>
    </w:p>
    <w:p w14:paraId="7A21A446">
      <w:pPr>
        <w:pStyle w:val="16"/>
        <w:spacing w:after="60"/>
      </w:pPr>
      <w:r>
        <w:rPr>
          <w:rFonts w:ascii="微软雅黑" w:hAnsi="微软雅黑" w:eastAsia="微软雅黑"/>
        </w:rPr>
        <w:t>首发内容更适合直接从主路线切入，还是从次路线更具传播性的壳子切入后再回归主路线。</w:t>
      </w:r>
    </w:p>
    <w:p w14:paraId="7D85223F">
      <w:pPr>
        <w:pStyle w:val="3"/>
        <w:spacing w:after="60"/>
      </w:pPr>
      <w:r>
        <w:rPr>
          <w:rFonts w:ascii="微软雅黑" w:hAnsi="微软雅黑" w:eastAsia="微软雅黑"/>
          <w:b/>
        </w:rPr>
        <w:t>二十二、路线识别结果向下游报告传递的最小要求</w:t>
      </w:r>
    </w:p>
    <w:p w14:paraId="4669BC0D">
      <w:pPr>
        <w:pStyle w:val="16"/>
        <w:spacing w:after="60"/>
      </w:pPr>
      <w:r>
        <w:rPr>
          <w:rFonts w:ascii="微软雅黑" w:hAnsi="微软雅黑" w:eastAsia="微软雅黑"/>
        </w:rPr>
        <w:t>route_type 之外，至少还应向下游模块传递：primary_expression_arena、main_route_expression_rule、secondary_route_usage_note、mixed_expression_risk、launch_content_side、first_priority_audience。</w:t>
      </w:r>
    </w:p>
    <w:p w14:paraId="3514D09B">
      <w:pPr>
        <w:pStyle w:val="16"/>
        <w:spacing w:after="60"/>
      </w:pPr>
      <w:r>
        <w:rPr>
          <w:rFonts w:ascii="微软雅黑" w:hAnsi="微软雅黑" w:eastAsia="微软雅黑"/>
        </w:rPr>
        <w:t>若这些字段缺失，模块4 的受众收窄、模块9 的首发切入与模块10 的启动建议容易出现方向正确但表达主场不稳的问题。</w:t>
      </w:r>
    </w:p>
    <w:p w14:paraId="34D94C3D">
      <w:pPr>
        <w:pStyle w:val="3"/>
        <w:spacing w:after="60"/>
      </w:pPr>
      <w:r>
        <w:rPr>
          <w:rFonts w:ascii="微软雅黑" w:hAnsi="微软雅黑" w:eastAsia="微软雅黑"/>
          <w:b/>
        </w:rPr>
        <w:t>二十三、路线识别后的技巧库自动挂载规则</w:t>
      </w:r>
    </w:p>
    <w:p w14:paraId="28888702">
      <w:pPr>
        <w:spacing w:after="60"/>
      </w:pPr>
      <w:r>
        <w:rPr>
          <w:rFonts w:ascii="微软雅黑" w:hAnsi="微软雅黑" w:eastAsia="微软雅黑"/>
        </w:rPr>
        <w:t>从本版开始，route_type 判定不仅决定正式报告的主体写法，还必须直接决定后续调用哪套创作技巧库。主路线判定通过后，系统应自动挂载与主路线一致的创作技巧库，作为定位判断、内容方向、平台建议、转化建议、账号包装与执行规划的正式约束源。</w:t>
      </w:r>
    </w:p>
    <w:p w14:paraId="5D619392">
      <w:pPr>
        <w:pStyle w:val="16"/>
        <w:spacing w:after="60"/>
      </w:pPr>
      <w:r>
        <w:rPr>
          <w:rFonts w:ascii="微软雅黑" w:hAnsi="微软雅黑" w:eastAsia="微软雅黑"/>
        </w:rPr>
        <w:t>route_type = TobFounder → 自动挂载 ToB 创作技巧库。</w:t>
      </w:r>
    </w:p>
    <w:p w14:paraId="75AD3348">
      <w:pPr>
        <w:pStyle w:val="16"/>
        <w:spacing w:after="60"/>
      </w:pPr>
      <w:r>
        <w:rPr>
          <w:rFonts w:ascii="微软雅黑" w:hAnsi="微软雅黑" w:eastAsia="微软雅黑"/>
        </w:rPr>
        <w:t>route_type = TocPersonal → 自动挂载 ToC 创作技巧库。</w:t>
      </w:r>
    </w:p>
    <w:p w14:paraId="1683EC96">
      <w:pPr>
        <w:pStyle w:val="16"/>
        <w:spacing w:after="60"/>
      </w:pPr>
      <w:r>
        <w:rPr>
          <w:rFonts w:ascii="微软雅黑" w:hAnsi="微软雅黑" w:eastAsia="微软雅黑"/>
        </w:rPr>
        <w:t>若存在 secondary_route_type，只能作为补充素材来源，不得改变主技巧库挂载方向。</w:t>
      </w:r>
    </w:p>
    <w:p w14:paraId="2A31F293">
      <w:pPr>
        <w:pStyle w:val="3"/>
        <w:spacing w:after="60"/>
      </w:pPr>
      <w:r>
        <w:rPr>
          <w:rFonts w:ascii="微软雅黑" w:hAnsi="微软雅黑" w:eastAsia="微软雅黑"/>
          <w:b/>
        </w:rPr>
        <w:t>二十四、建议新增的技巧库挂载字段</w:t>
      </w:r>
    </w:p>
    <w:p w14:paraId="291D2C59">
      <w:pPr>
        <w:pStyle w:val="16"/>
        <w:spacing w:after="60"/>
      </w:pPr>
      <w:r>
        <w:rPr>
          <w:rFonts w:ascii="微软雅黑" w:hAnsi="微软雅黑" w:eastAsia="微软雅黑"/>
        </w:rPr>
        <w:t>RT23｜skill_library_source｜文本｜当前挂载的技巧库来源，例如 ToB 创作技巧库 / ToC 创作技巧库。</w:t>
      </w:r>
    </w:p>
    <w:p w14:paraId="125A7314">
      <w:pPr>
        <w:pStyle w:val="16"/>
        <w:spacing w:after="60"/>
      </w:pPr>
      <w:r>
        <w:rPr>
          <w:rFonts w:ascii="微软雅黑" w:hAnsi="微软雅黑" w:eastAsia="微软雅黑"/>
        </w:rPr>
        <w:t>RT24｜skill_library_status｜单选｜loaded / missing / fallback。</w:t>
      </w:r>
    </w:p>
    <w:p w14:paraId="120BCD85">
      <w:pPr>
        <w:pStyle w:val="16"/>
        <w:spacing w:after="60"/>
      </w:pPr>
      <w:r>
        <w:rPr>
          <w:rFonts w:ascii="微软雅黑" w:hAnsi="微软雅黑" w:eastAsia="微软雅黑"/>
        </w:rPr>
        <w:t>RT25｜skill_library_route_match｜单选｜pass / mismatch。</w:t>
      </w:r>
    </w:p>
    <w:p w14:paraId="710104F9">
      <w:pPr>
        <w:pStyle w:val="16"/>
        <w:spacing w:after="60"/>
      </w:pPr>
      <w:r>
        <w:rPr>
          <w:rFonts w:ascii="微软雅黑" w:hAnsi="微软雅黑" w:eastAsia="微软雅黑"/>
        </w:rPr>
        <w:t>RT26｜skill_library_fallback_note｜文本｜技巧库缺失或不匹配时的降级说明。</w:t>
      </w:r>
    </w:p>
    <w:p w14:paraId="1CC5DE82">
      <w:pPr>
        <w:pStyle w:val="3"/>
        <w:spacing w:after="60"/>
      </w:pPr>
      <w:r>
        <w:rPr>
          <w:rFonts w:ascii="微软雅黑" w:hAnsi="微软雅黑" w:eastAsia="微软雅黑"/>
          <w:b/>
        </w:rPr>
        <w:t>二十五、路线与技巧库的一致性规则</w:t>
      </w:r>
    </w:p>
    <w:p w14:paraId="10005F6B">
      <w:pPr>
        <w:pStyle w:val="16"/>
        <w:spacing w:after="60"/>
      </w:pPr>
      <w:r>
        <w:rPr>
          <w:rFonts w:ascii="微软雅黑" w:hAnsi="微软雅黑" w:eastAsia="微软雅黑"/>
        </w:rPr>
        <w:t>主路线必须和技巧库路线一致。若 route_type = ToB，但 skill_library_source 挂载为 ToC 技巧库，则视为高风险 mismatch。</w:t>
      </w:r>
    </w:p>
    <w:p w14:paraId="5003D183">
      <w:pPr>
        <w:pStyle w:val="16"/>
        <w:spacing w:after="60"/>
      </w:pPr>
      <w:r>
        <w:rPr>
          <w:rFonts w:ascii="微软雅黑" w:hAnsi="微软雅黑" w:eastAsia="微软雅黑"/>
        </w:rPr>
        <w:t>若 route_type 已通过，但没有 skill_library_source，则正式生成时必须进入 fallback 状态，并写清是按哪套默认路线规则降级生成。</w:t>
      </w:r>
    </w:p>
    <w:p w14:paraId="01630799">
      <w:pPr>
        <w:pStyle w:val="16"/>
        <w:spacing w:after="60"/>
      </w:pPr>
      <w:r>
        <w:rPr>
          <w:rFonts w:ascii="微软雅黑" w:hAnsi="微软雅黑" w:eastAsia="微软雅黑"/>
        </w:rPr>
        <w:t>若报告主体明显没有体现对应路线技巧库风格，即使 route_type 正确，也应视为路线识别后的生成约束未真正生效。</w:t>
      </w:r>
    </w:p>
    <w:p w14:paraId="74AEFA3A">
      <w:pPr>
        <w:pStyle w:val="3"/>
        <w:spacing w:after="60"/>
      </w:pPr>
      <w:r>
        <w:rPr>
          <w:rFonts w:ascii="微软雅黑" w:hAnsi="微软雅黑" w:eastAsia="微软雅黑"/>
          <w:b/>
        </w:rPr>
        <w:t>二十六、技巧库缺失时的 route 后降级说明</w:t>
      </w:r>
    </w:p>
    <w:p w14:paraId="09981487">
      <w:pPr>
        <w:pStyle w:val="16"/>
        <w:spacing w:after="60"/>
      </w:pPr>
      <w:r>
        <w:rPr>
          <w:rFonts w:ascii="微软雅黑" w:hAnsi="微软雅黑" w:eastAsia="微软雅黑"/>
        </w:rPr>
        <w:t>当 skill_library_status = missing 时，系统仍可继续生成，但必须在 route 后说明中写清：当前缺少对应技巧库支持，已按主路线默认规则降级生成。</w:t>
      </w:r>
    </w:p>
    <w:p w14:paraId="452E9B54">
      <w:pPr>
        <w:pStyle w:val="16"/>
        <w:spacing w:after="60"/>
      </w:pPr>
      <w:r>
        <w:rPr>
          <w:rFonts w:ascii="微软雅黑" w:hAnsi="微软雅黑" w:eastAsia="微软雅黑"/>
        </w:rPr>
        <w:t>fallback 状态下，允许保留主路线，但不得伪装成已经使用了某路线技巧库的细化逻辑。</w:t>
      </w:r>
    </w:p>
    <w:p w14:paraId="62F6C05C">
      <w:pPr>
        <w:pStyle w:val="16"/>
        <w:spacing w:after="60"/>
      </w:pPr>
      <w:r>
        <w:rPr>
          <w:rFonts w:ascii="微软雅黑" w:hAnsi="微软雅黑" w:eastAsia="微软雅黑"/>
        </w:rPr>
        <w:t>fallback 状态应传递到下游模块，尤其影响模块4、模块5、模块6、模块8、模块9、模块10 的置信度说明。</w:t>
      </w:r>
    </w:p>
    <w:p w14:paraId="18A5995E">
      <w:pPr>
        <w:pStyle w:val="3"/>
        <w:spacing w:after="60"/>
      </w:pPr>
      <w:r>
        <w:rPr>
          <w:rFonts w:ascii="微软雅黑" w:hAnsi="微软雅黑" w:eastAsia="微软雅黑"/>
          <w:b/>
        </w:rPr>
        <w:t>二十七、路线识别结果向下游模块传递的最小技巧库字段</w:t>
      </w:r>
    </w:p>
    <w:p w14:paraId="1783E221">
      <w:pPr>
        <w:pStyle w:val="16"/>
        <w:spacing w:after="60"/>
      </w:pPr>
      <w:r>
        <w:rPr>
          <w:rFonts w:ascii="微软雅黑" w:hAnsi="微软雅黑" w:eastAsia="微软雅黑"/>
        </w:rPr>
        <w:t>除 route_type、route_confidence、route_evidence、primary_expression_arena 外，至少还应向下游模块传递：skill_library_source、skill_library_status、skill_library_route_match、skill_library_fallback_note。</w:t>
      </w:r>
    </w:p>
    <w:p w14:paraId="72EA4993">
      <w:pPr>
        <w:pStyle w:val="16"/>
        <w:spacing w:after="60"/>
      </w:pPr>
      <w:r>
        <w:rPr>
          <w:rFonts w:ascii="微软雅黑" w:hAnsi="微软雅黑" w:eastAsia="微软雅黑"/>
        </w:rPr>
        <w:t>若这些字段缺失，下游模块虽然可能方向正确，但很容易只按通用逻辑写，无法体现 ToB / ToC 技巧库风格差异。</w:t>
      </w:r>
    </w:p>
    <w:p w14:paraId="33223538">
      <w:pPr>
        <w:pStyle w:val="16"/>
        <w:spacing w:after="60"/>
      </w:pPr>
      <w:r>
        <w:rPr>
          <w:rFonts w:ascii="微软雅黑" w:hAnsi="微软雅黑" w:eastAsia="微软雅黑"/>
        </w:rPr>
        <w:t>主路线识别不仅决定报告方向，也决定后续调用哪套创作技巧库；若只判路由、不挂技巧库，视为路由链条不完整。</w:t>
      </w:r>
    </w:p>
    <w:p w14:paraId="0002AAB6">
      <w:pPr>
        <w:pStyle w:val="3"/>
      </w:pPr>
      <w:r>
        <w:t>阶段1分支、回流与输出对象补充</w:t>
      </w:r>
    </w:p>
    <w:p w14:paraId="313D9F2B">
      <w:pPr>
        <w:pStyle w:val="16"/>
        <w:ind w:left="0"/>
      </w:pPr>
      <w:r>
        <w:rPr>
          <w:rFonts w:ascii="微软雅黑" w:hAnsi="微软雅黑" w:eastAsia="微软雅黑"/>
        </w:rPr>
        <w:t>若 route_final_decision = need_more_info，则必须停留在本阶段补 route_evidence，不得进入 Demo 生成。</w:t>
      </w:r>
    </w:p>
    <w:p w14:paraId="465C657C">
      <w:pPr>
        <w:pStyle w:val="16"/>
        <w:ind w:left="0"/>
      </w:pPr>
      <w:r>
        <w:rPr>
          <w:rFonts w:ascii="微软雅黑" w:hAnsi="微软雅黑" w:eastAsia="微软雅黑"/>
        </w:rPr>
        <w:t>若主路线清晰但 primary_expression_arena、main_route_expression_rule 或 mixed_expression_risk 仍模糊，则先补“内容表达主场”判断，再进入下一阶段。</w:t>
      </w:r>
    </w:p>
    <w:p w14:paraId="0BB945CD">
      <w:pPr>
        <w:pStyle w:val="16"/>
        <w:ind w:left="0"/>
      </w:pPr>
      <w:r>
        <w:rPr>
          <w:rFonts w:ascii="微软雅黑" w:hAnsi="微软雅黑" w:eastAsia="微软雅黑"/>
        </w:rPr>
        <w:t>若 skill_library_status = missing 或 skill_library_route_match = mismatch，则进入 fallback 路径，并在 route_context 中显式写清降级说明。</w:t>
      </w:r>
    </w:p>
    <w:p w14:paraId="486500BE">
      <w:pPr>
        <w:pStyle w:val="16"/>
        <w:ind w:left="0"/>
      </w:pPr>
      <w:r>
        <w:rPr>
          <w:rFonts w:ascii="微软雅黑" w:hAnsi="微软雅黑" w:eastAsia="微软雅黑"/>
        </w:rPr>
        <w:t>本阶段完成后，至少输出并冻结：route_type、route_confidence、route_evidence、secondary_route_type、route_final_decision、primary_expression_arena、main_route_expression_rule、secondary_route_usage_note、mixed_expression_risk、skill_library_source、skill_library_status、skill_library_route_match、skill_library_fallback_note。</w:t>
      </w:r>
    </w:p>
    <w:p w14:paraId="095CB036">
      <w:pPr>
        <w:pStyle w:val="16"/>
        <w:ind w:left="0"/>
      </w:pPr>
      <w:r>
        <w:rPr>
          <w:rFonts w:ascii="微软雅黑" w:hAnsi="微软雅黑" w:eastAsia="微软雅黑"/>
        </w:rPr>
        <w:t>进入下一阶段前，必须确认：主路线已锁定、表达主场已明确、技巧库约束源已挂载或已记录 fallback。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01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96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2487</Words>
  <Characters>3401</Characters>
  <Lines>0</Lines>
  <Paragraphs>0</Paragraphs>
  <TotalTime>3</TotalTime>
  <ScaleCrop>false</ScaleCrop>
  <LinksUpToDate>false</LinksUpToDate>
  <CharactersWithSpaces>3538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2026-04-16T12:18:05Z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EC45E615F6F9494B9E5C5C5E37D30573_12</vt:lpwstr>
  </property>
</Properties>
</file>