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3BCC66">
      <w:pPr>
        <w:jc w:val="center"/>
        <w:rPr>
          <w:rFonts w:hint="eastAsia" w:ascii="微软雅黑" w:hAnsi="微软雅黑" w:eastAsia="微软雅黑" w:cs="微软雅黑"/>
        </w:rPr>
      </w:pPr>
      <w:bookmarkStart w:id="0" w:name="_GoBack"/>
      <w:r>
        <w:rPr>
          <w:rFonts w:hint="eastAsia" w:ascii="微软雅黑" w:hAnsi="微软雅黑" w:eastAsia="微软雅黑" w:cs="微软雅黑"/>
          <w:b/>
          <w:color w:val="545454"/>
          <w:sz w:val="36"/>
        </w:rPr>
        <w:t>阶段2_题目确认与写作策略装配</w:t>
      </w:r>
    </w:p>
    <w:p w14:paraId="03E1E9E6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/>
        </w:rPr>
        <w:t>文案生成与拍摄转化建议系统｜阶段拆分子文件</w:t>
      </w:r>
    </w:p>
    <w:p w14:paraId="4C872A9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题目确认、证据召回与策略装配</w:t>
      </w:r>
    </w:p>
    <w:p w14:paraId="6D9A292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五、自由想法梳理模式：输出补充模板</w:t>
      </w:r>
    </w:p>
    <w:p w14:paraId="1C1858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当用户输入的不是明确选题，而只是一个想法、观点、片段表达或情绪冲动时，应先输出“梳理层”，再进入正式文案层。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14A7C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70356E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模块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08C893F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作用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1535FD6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最少要素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707789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备注</w:t>
            </w:r>
          </w:p>
        </w:tc>
      </w:tr>
      <w:tr w14:paraId="2C65D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3CBF4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I00 想法原文保留</w:t>
            </w:r>
          </w:p>
        </w:tc>
        <w:tc>
          <w:tcPr>
            <w:tcW w:w="2408" w:type="dxa"/>
            <w:vAlign w:val="center"/>
          </w:tcPr>
          <w:p w14:paraId="044B499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避免系统误读用户原始意图</w:t>
            </w:r>
          </w:p>
        </w:tc>
        <w:tc>
          <w:tcPr>
            <w:tcW w:w="2408" w:type="dxa"/>
            <w:vAlign w:val="center"/>
          </w:tcPr>
          <w:p w14:paraId="334EB01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原始想法 / 原话 / 场景说明</w:t>
            </w:r>
          </w:p>
        </w:tc>
        <w:tc>
          <w:tcPr>
            <w:tcW w:w="2408" w:type="dxa"/>
            <w:vAlign w:val="center"/>
          </w:tcPr>
          <w:p w14:paraId="7993130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保留用户原话很重要</w:t>
            </w:r>
          </w:p>
        </w:tc>
      </w:tr>
      <w:tr w14:paraId="0A02F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33BB97D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I01 选题梳理与确认</w:t>
            </w:r>
          </w:p>
        </w:tc>
        <w:tc>
          <w:tcPr>
            <w:tcW w:w="2408" w:type="dxa"/>
            <w:vAlign w:val="center"/>
          </w:tcPr>
          <w:p w14:paraId="77F2F5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把模糊表达变成可执行题目</w:t>
            </w:r>
          </w:p>
        </w:tc>
        <w:tc>
          <w:tcPr>
            <w:tcW w:w="2408" w:type="dxa"/>
            <w:vAlign w:val="center"/>
          </w:tcPr>
          <w:p w14:paraId="53EC0B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候选题名、推荐主题、是否需要确认 topic_id</w:t>
            </w:r>
          </w:p>
        </w:tc>
        <w:tc>
          <w:tcPr>
            <w:tcW w:w="2408" w:type="dxa"/>
            <w:vAlign w:val="center"/>
          </w:tcPr>
          <w:p w14:paraId="72BC89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必要时生成 topic_confirmed</w:t>
            </w:r>
          </w:p>
        </w:tc>
      </w:tr>
      <w:tr w14:paraId="3C14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ECA3D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I02 方向判断</w:t>
            </w:r>
          </w:p>
        </w:tc>
        <w:tc>
          <w:tcPr>
            <w:tcW w:w="2408" w:type="dxa"/>
            <w:vAlign w:val="center"/>
          </w:tcPr>
          <w:p w14:paraId="536704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说明为什么走这个题目方向</w:t>
            </w:r>
          </w:p>
        </w:tc>
        <w:tc>
          <w:tcPr>
            <w:tcW w:w="2408" w:type="dxa"/>
            <w:vAlign w:val="center"/>
          </w:tcPr>
          <w:p w14:paraId="68D76A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与定位的关系、与当前阶段的关系、与路线的关系</w:t>
            </w:r>
          </w:p>
        </w:tc>
        <w:tc>
          <w:tcPr>
            <w:tcW w:w="2408" w:type="dxa"/>
            <w:vAlign w:val="center"/>
          </w:tcPr>
          <w:p w14:paraId="35D6786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避免脱离主路线</w:t>
            </w:r>
          </w:p>
        </w:tc>
      </w:tr>
      <w:tr w14:paraId="4BFB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2011BD8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I03 再进入正式文案模板</w:t>
            </w:r>
          </w:p>
        </w:tc>
        <w:tc>
          <w:tcPr>
            <w:tcW w:w="2408" w:type="dxa"/>
            <w:vAlign w:val="center"/>
          </w:tcPr>
          <w:p w14:paraId="5DD730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完成写稿主流程</w:t>
            </w:r>
          </w:p>
        </w:tc>
        <w:tc>
          <w:tcPr>
            <w:tcW w:w="2408" w:type="dxa"/>
            <w:vAlign w:val="center"/>
          </w:tcPr>
          <w:p w14:paraId="681DCF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继承 M00–M09</w:t>
            </w:r>
          </w:p>
        </w:tc>
        <w:tc>
          <w:tcPr>
            <w:tcW w:w="2408" w:type="dxa"/>
            <w:vAlign w:val="center"/>
          </w:tcPr>
          <w:p w14:paraId="575A91E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此后与已选题模式一致</w:t>
            </w:r>
          </w:p>
        </w:tc>
      </w:tr>
    </w:tbl>
    <w:p w14:paraId="167F377A">
      <w:pPr>
        <w:rPr>
          <w:rFonts w:hint="eastAsia" w:ascii="微软雅黑" w:hAnsi="微软雅黑" w:eastAsia="微软雅黑" w:cs="微软雅黑"/>
        </w:rPr>
      </w:pPr>
    </w:p>
    <w:p w14:paraId="6633F42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 模块｜选题与输入模式字段</w:t>
      </w:r>
    </w:p>
    <w:p w14:paraId="6EBBEEA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本模块承接第三阶段题池，也支持从模糊想法梳理出新题，但不得形成影子题池。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2636"/>
        <w:gridCol w:w="1168"/>
        <w:gridCol w:w="1300"/>
        <w:gridCol w:w="1163"/>
        <w:gridCol w:w="2344"/>
      </w:tblGrid>
      <w:tr w14:paraId="2D3A7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2F80D9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514E2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18679EE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AB4AB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14C42A0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75B52A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1FF7B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1F846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D01</w:t>
            </w:r>
          </w:p>
        </w:tc>
        <w:tc>
          <w:tcPr>
            <w:tcW w:w="1605" w:type="dxa"/>
            <w:vAlign w:val="center"/>
          </w:tcPr>
          <w:p w14:paraId="0BFCBF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topic_id</w:t>
            </w:r>
          </w:p>
        </w:tc>
        <w:tc>
          <w:tcPr>
            <w:tcW w:w="1605" w:type="dxa"/>
            <w:vAlign w:val="center"/>
          </w:tcPr>
          <w:p w14:paraId="7862525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第三阶段题目唯一ID</w:t>
            </w:r>
          </w:p>
        </w:tc>
        <w:tc>
          <w:tcPr>
            <w:tcW w:w="1605" w:type="dxa"/>
            <w:vAlign w:val="center"/>
          </w:tcPr>
          <w:p w14:paraId="476A9CB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104802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5B4BE32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topic_s3_032</w:t>
            </w:r>
          </w:p>
        </w:tc>
      </w:tr>
      <w:tr w14:paraId="4357E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BF7E2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D02</w:t>
            </w:r>
          </w:p>
        </w:tc>
        <w:tc>
          <w:tcPr>
            <w:tcW w:w="1605" w:type="dxa"/>
            <w:vAlign w:val="center"/>
          </w:tcPr>
          <w:p w14:paraId="2F1B77D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topic_source_type</w:t>
            </w:r>
          </w:p>
        </w:tc>
        <w:tc>
          <w:tcPr>
            <w:tcW w:w="1605" w:type="dxa"/>
            <w:vAlign w:val="center"/>
          </w:tcPr>
          <w:p w14:paraId="62E021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选题来源类型</w:t>
            </w:r>
          </w:p>
        </w:tc>
        <w:tc>
          <w:tcPr>
            <w:tcW w:w="1605" w:type="dxa"/>
            <w:vAlign w:val="center"/>
          </w:tcPr>
          <w:p w14:paraId="3F53A2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3BB0A8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7F78A54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selected_topic / generated_from_idea / external_reference</w:t>
            </w:r>
          </w:p>
        </w:tc>
      </w:tr>
      <w:tr w14:paraId="686AE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3ACA5C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D03</w:t>
            </w:r>
          </w:p>
        </w:tc>
        <w:tc>
          <w:tcPr>
            <w:tcW w:w="1605" w:type="dxa"/>
            <w:vAlign w:val="center"/>
          </w:tcPr>
          <w:p w14:paraId="047503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topic_title</w:t>
            </w:r>
          </w:p>
        </w:tc>
        <w:tc>
          <w:tcPr>
            <w:tcW w:w="1605" w:type="dxa"/>
            <w:vAlign w:val="center"/>
          </w:tcPr>
          <w:p w14:paraId="084B991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当前确认选题标题</w:t>
            </w:r>
          </w:p>
        </w:tc>
        <w:tc>
          <w:tcPr>
            <w:tcW w:w="1605" w:type="dxa"/>
            <w:vAlign w:val="center"/>
          </w:tcPr>
          <w:p w14:paraId="5FA2093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785AD6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57B6CD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客户为什么不信你</w:t>
            </w:r>
          </w:p>
        </w:tc>
      </w:tr>
      <w:tr w14:paraId="442DF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016811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D04</w:t>
            </w:r>
          </w:p>
        </w:tc>
        <w:tc>
          <w:tcPr>
            <w:tcW w:w="1605" w:type="dxa"/>
            <w:vAlign w:val="center"/>
          </w:tcPr>
          <w:p w14:paraId="5DF404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idea_raw_text</w:t>
            </w:r>
          </w:p>
        </w:tc>
        <w:tc>
          <w:tcPr>
            <w:tcW w:w="1605" w:type="dxa"/>
            <w:vAlign w:val="center"/>
          </w:tcPr>
          <w:p w14:paraId="24F039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用户原始想法或观点</w:t>
            </w:r>
          </w:p>
        </w:tc>
        <w:tc>
          <w:tcPr>
            <w:tcW w:w="1605" w:type="dxa"/>
            <w:vAlign w:val="center"/>
          </w:tcPr>
          <w:p w14:paraId="19E431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5951BF5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412450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我想讲为什么老板不该急着做IP</w:t>
            </w:r>
          </w:p>
        </w:tc>
      </w:tr>
      <w:tr w14:paraId="07227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9B8841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D05</w:t>
            </w:r>
          </w:p>
        </w:tc>
        <w:tc>
          <w:tcPr>
            <w:tcW w:w="1605" w:type="dxa"/>
            <w:vAlign w:val="center"/>
          </w:tcPr>
          <w:p w14:paraId="0B09BB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topic_confirmed_flag</w:t>
            </w:r>
          </w:p>
        </w:tc>
        <w:tc>
          <w:tcPr>
            <w:tcW w:w="1605" w:type="dxa"/>
            <w:vAlign w:val="center"/>
          </w:tcPr>
          <w:p w14:paraId="5706AD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是否已确认具体选题</w:t>
            </w:r>
          </w:p>
        </w:tc>
        <w:tc>
          <w:tcPr>
            <w:tcW w:w="1605" w:type="dxa"/>
            <w:vAlign w:val="center"/>
          </w:tcPr>
          <w:p w14:paraId="60B5D8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405E24B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02E67C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1BB41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FCA23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D06</w:t>
            </w:r>
          </w:p>
        </w:tc>
        <w:tc>
          <w:tcPr>
            <w:tcW w:w="1605" w:type="dxa"/>
            <w:vAlign w:val="center"/>
          </w:tcPr>
          <w:p w14:paraId="0581B84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stage_tag</w:t>
            </w:r>
          </w:p>
        </w:tc>
        <w:tc>
          <w:tcPr>
            <w:tcW w:w="1605" w:type="dxa"/>
            <w:vAlign w:val="center"/>
          </w:tcPr>
          <w:p w14:paraId="287D0CA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对应第三阶段阶段标签</w:t>
            </w:r>
          </w:p>
        </w:tc>
        <w:tc>
          <w:tcPr>
            <w:tcW w:w="1605" w:type="dxa"/>
            <w:vAlign w:val="center"/>
          </w:tcPr>
          <w:p w14:paraId="76F76DB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6EC1F2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条件必填</w:t>
            </w:r>
          </w:p>
        </w:tc>
        <w:tc>
          <w:tcPr>
            <w:tcW w:w="1605" w:type="dxa"/>
            <w:vAlign w:val="center"/>
          </w:tcPr>
          <w:p w14:paraId="12F51D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stage_1 / stage_2</w:t>
            </w:r>
          </w:p>
        </w:tc>
      </w:tr>
      <w:tr w14:paraId="08BD1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C6608F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D07</w:t>
            </w:r>
          </w:p>
        </w:tc>
        <w:tc>
          <w:tcPr>
            <w:tcW w:w="1605" w:type="dxa"/>
            <w:vAlign w:val="center"/>
          </w:tcPr>
          <w:p w14:paraId="452C30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topic_writeback_needed</w:t>
            </w:r>
          </w:p>
        </w:tc>
        <w:tc>
          <w:tcPr>
            <w:tcW w:w="1605" w:type="dxa"/>
            <w:vAlign w:val="center"/>
          </w:tcPr>
          <w:p w14:paraId="66AD44E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新题是否需回写第三阶段</w:t>
            </w:r>
          </w:p>
        </w:tc>
        <w:tc>
          <w:tcPr>
            <w:tcW w:w="1605" w:type="dxa"/>
            <w:vAlign w:val="center"/>
          </w:tcPr>
          <w:p w14:paraId="5CD4A6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bool</w:t>
            </w:r>
          </w:p>
        </w:tc>
        <w:tc>
          <w:tcPr>
            <w:tcW w:w="1605" w:type="dxa"/>
            <w:vAlign w:val="center"/>
          </w:tcPr>
          <w:p w14:paraId="63C1E4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653FBC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true / false</w:t>
            </w:r>
          </w:p>
        </w:tc>
      </w:tr>
      <w:tr w14:paraId="63686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15A43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D08</w:t>
            </w:r>
          </w:p>
        </w:tc>
        <w:tc>
          <w:tcPr>
            <w:tcW w:w="1605" w:type="dxa"/>
            <w:vAlign w:val="center"/>
          </w:tcPr>
          <w:p w14:paraId="174C6C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topic_priority</w:t>
            </w:r>
          </w:p>
        </w:tc>
        <w:tc>
          <w:tcPr>
            <w:tcW w:w="1605" w:type="dxa"/>
            <w:vAlign w:val="center"/>
          </w:tcPr>
          <w:p w14:paraId="6B2700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本题优先级</w:t>
            </w:r>
          </w:p>
        </w:tc>
        <w:tc>
          <w:tcPr>
            <w:tcW w:w="1605" w:type="dxa"/>
            <w:vAlign w:val="center"/>
          </w:tcPr>
          <w:p w14:paraId="0E3202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0FD678C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可选</w:t>
            </w:r>
          </w:p>
        </w:tc>
        <w:tc>
          <w:tcPr>
            <w:tcW w:w="1605" w:type="dxa"/>
            <w:vAlign w:val="center"/>
          </w:tcPr>
          <w:p w14:paraId="566018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high / medium / low</w:t>
            </w:r>
          </w:p>
        </w:tc>
      </w:tr>
    </w:tbl>
    <w:p w14:paraId="588884C8">
      <w:pPr>
        <w:rPr>
          <w:rFonts w:hint="eastAsia" w:ascii="微软雅黑" w:hAnsi="微软雅黑" w:eastAsia="微软雅黑" w:cs="微软雅黑"/>
        </w:rPr>
      </w:pPr>
    </w:p>
    <w:p w14:paraId="38FCB76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 模块｜文案策略层字段</w:t>
      </w:r>
    </w:p>
    <w:p w14:paraId="010D6F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本模块回答“这条文案为什么这样写”，是路线对齐、时长映射与结构选择的核心层。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2395"/>
        <w:gridCol w:w="1472"/>
        <w:gridCol w:w="1514"/>
        <w:gridCol w:w="1472"/>
        <w:gridCol w:w="1505"/>
      </w:tblGrid>
      <w:tr w14:paraId="16178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shd w:val="clear" w:color="auto" w:fill="EDE6FA"/>
            <w:vAlign w:val="center"/>
          </w:tcPr>
          <w:p w14:paraId="5246541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字段ID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6B27BF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字段名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59CA56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说明 / 用途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36B0300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类型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0C47F5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是否必填</w:t>
            </w:r>
          </w:p>
        </w:tc>
        <w:tc>
          <w:tcPr>
            <w:tcW w:w="1605" w:type="dxa"/>
            <w:shd w:val="clear" w:color="auto" w:fill="EDE6FA"/>
            <w:vAlign w:val="center"/>
          </w:tcPr>
          <w:p w14:paraId="7C73CE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枚举 / 示例</w:t>
            </w:r>
          </w:p>
        </w:tc>
      </w:tr>
      <w:tr w14:paraId="7C8D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42A2F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E01</w:t>
            </w:r>
          </w:p>
        </w:tc>
        <w:tc>
          <w:tcPr>
            <w:tcW w:w="1605" w:type="dxa"/>
            <w:vAlign w:val="center"/>
          </w:tcPr>
          <w:p w14:paraId="669579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script_route</w:t>
            </w:r>
          </w:p>
        </w:tc>
        <w:tc>
          <w:tcPr>
            <w:tcW w:w="1605" w:type="dxa"/>
            <w:vAlign w:val="center"/>
          </w:tcPr>
          <w:p w14:paraId="49F130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文案执行路线</w:t>
            </w:r>
          </w:p>
        </w:tc>
        <w:tc>
          <w:tcPr>
            <w:tcW w:w="1605" w:type="dxa"/>
            <w:vAlign w:val="center"/>
          </w:tcPr>
          <w:p w14:paraId="647CA5A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11929D1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6A7B8A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ToB / ToC</w:t>
            </w:r>
          </w:p>
        </w:tc>
      </w:tr>
      <w:tr w14:paraId="76EDA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384E795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E02</w:t>
            </w:r>
          </w:p>
        </w:tc>
        <w:tc>
          <w:tcPr>
            <w:tcW w:w="1605" w:type="dxa"/>
            <w:vAlign w:val="center"/>
          </w:tcPr>
          <w:p w14:paraId="4574F2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script_goal</w:t>
            </w:r>
          </w:p>
        </w:tc>
        <w:tc>
          <w:tcPr>
            <w:tcW w:w="1605" w:type="dxa"/>
            <w:vAlign w:val="center"/>
          </w:tcPr>
          <w:p w14:paraId="4E5C14A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本条核心目标</w:t>
            </w:r>
          </w:p>
        </w:tc>
        <w:tc>
          <w:tcPr>
            <w:tcW w:w="1605" w:type="dxa"/>
            <w:vAlign w:val="center"/>
          </w:tcPr>
          <w:p w14:paraId="5BD4FEA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4E36A0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11AD7C1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建信任 / 促咨询 / 强共鸣</w:t>
            </w:r>
          </w:p>
        </w:tc>
      </w:tr>
      <w:tr w14:paraId="3A65C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50D5C4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E03</w:t>
            </w:r>
          </w:p>
        </w:tc>
        <w:tc>
          <w:tcPr>
            <w:tcW w:w="1605" w:type="dxa"/>
            <w:vAlign w:val="center"/>
          </w:tcPr>
          <w:p w14:paraId="4B21A5C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structure_type</w:t>
            </w:r>
          </w:p>
        </w:tc>
        <w:tc>
          <w:tcPr>
            <w:tcW w:w="1605" w:type="dxa"/>
            <w:vAlign w:val="center"/>
          </w:tcPr>
          <w:p w14:paraId="1464732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文案结构类型</w:t>
            </w:r>
          </w:p>
        </w:tc>
        <w:tc>
          <w:tcPr>
            <w:tcW w:w="1605" w:type="dxa"/>
            <w:vAlign w:val="center"/>
          </w:tcPr>
          <w:p w14:paraId="7F1C64D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enum</w:t>
            </w:r>
          </w:p>
        </w:tc>
        <w:tc>
          <w:tcPr>
            <w:tcW w:w="1605" w:type="dxa"/>
            <w:vAlign w:val="center"/>
          </w:tcPr>
          <w:p w14:paraId="1552BF9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2246BAF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案例型 / 观点型 / 清单型 / 故事型</w:t>
            </w:r>
          </w:p>
        </w:tc>
      </w:tr>
      <w:tr w14:paraId="5A8C2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6E9455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E04</w:t>
            </w:r>
          </w:p>
        </w:tc>
        <w:tc>
          <w:tcPr>
            <w:tcW w:w="1605" w:type="dxa"/>
            <w:vAlign w:val="center"/>
          </w:tcPr>
          <w:p w14:paraId="79A1E7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length_structure_map</w:t>
            </w:r>
          </w:p>
        </w:tc>
        <w:tc>
          <w:tcPr>
            <w:tcW w:w="1605" w:type="dxa"/>
            <w:vAlign w:val="center"/>
          </w:tcPr>
          <w:p w14:paraId="1530637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时长对应结构映射</w:t>
            </w:r>
          </w:p>
        </w:tc>
        <w:tc>
          <w:tcPr>
            <w:tcW w:w="1605" w:type="dxa"/>
            <w:vAlign w:val="center"/>
          </w:tcPr>
          <w:p w14:paraId="3D5DE92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3D9845B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4534E6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60s=钩子+案例+判断+收尾</w:t>
            </w:r>
          </w:p>
        </w:tc>
      </w:tr>
      <w:tr w14:paraId="2B897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65742F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E05</w:t>
            </w:r>
          </w:p>
        </w:tc>
        <w:tc>
          <w:tcPr>
            <w:tcW w:w="1605" w:type="dxa"/>
            <w:vAlign w:val="center"/>
          </w:tcPr>
          <w:p w14:paraId="45BA124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writing_tilt</w:t>
            </w:r>
          </w:p>
        </w:tc>
        <w:tc>
          <w:tcPr>
            <w:tcW w:w="1605" w:type="dxa"/>
            <w:vAlign w:val="center"/>
          </w:tcPr>
          <w:p w14:paraId="067357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写作倾向</w:t>
            </w:r>
          </w:p>
        </w:tc>
        <w:tc>
          <w:tcPr>
            <w:tcW w:w="1605" w:type="dxa"/>
            <w:vAlign w:val="center"/>
          </w:tcPr>
          <w:p w14:paraId="599E438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string</w:t>
            </w:r>
          </w:p>
        </w:tc>
        <w:tc>
          <w:tcPr>
            <w:tcW w:w="1605" w:type="dxa"/>
            <w:vAlign w:val="center"/>
          </w:tcPr>
          <w:p w14:paraId="3C8F59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是</w:t>
            </w:r>
          </w:p>
        </w:tc>
        <w:tc>
          <w:tcPr>
            <w:tcW w:w="1605" w:type="dxa"/>
            <w:vAlign w:val="center"/>
          </w:tcPr>
          <w:p w14:paraId="2EA1A0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ToB重判断与信任 / ToC重共鸣与变化</w:t>
            </w:r>
          </w:p>
        </w:tc>
      </w:tr>
      <w:tr w14:paraId="38C72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198C8F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E06</w:t>
            </w:r>
          </w:p>
        </w:tc>
        <w:tc>
          <w:tcPr>
            <w:tcW w:w="1605" w:type="dxa"/>
            <w:vAlign w:val="center"/>
          </w:tcPr>
          <w:p w14:paraId="0A5655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why_this_script</w:t>
            </w:r>
          </w:p>
        </w:tc>
        <w:tc>
          <w:tcPr>
            <w:tcW w:w="1605" w:type="dxa"/>
            <w:vAlign w:val="center"/>
          </w:tcPr>
          <w:p w14:paraId="7AD69C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为什么推荐这条文案</w:t>
            </w:r>
          </w:p>
        </w:tc>
        <w:tc>
          <w:tcPr>
            <w:tcW w:w="1605" w:type="dxa"/>
            <w:vAlign w:val="center"/>
          </w:tcPr>
          <w:p w14:paraId="5119A5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0F49948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6A226A1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适合当前阶段建立认知</w:t>
            </w:r>
          </w:p>
        </w:tc>
      </w:tr>
      <w:tr w14:paraId="68DD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443F90C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E07</w:t>
            </w:r>
          </w:p>
        </w:tc>
        <w:tc>
          <w:tcPr>
            <w:tcW w:w="1605" w:type="dxa"/>
            <w:vAlign w:val="center"/>
          </w:tcPr>
          <w:p w14:paraId="2AE9B5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why_this_structure</w:t>
            </w:r>
          </w:p>
        </w:tc>
        <w:tc>
          <w:tcPr>
            <w:tcW w:w="1605" w:type="dxa"/>
            <w:vAlign w:val="center"/>
          </w:tcPr>
          <w:p w14:paraId="1EBAF13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为什么采用这个结构</w:t>
            </w:r>
          </w:p>
        </w:tc>
        <w:tc>
          <w:tcPr>
            <w:tcW w:w="1605" w:type="dxa"/>
            <w:vAlign w:val="center"/>
          </w:tcPr>
          <w:p w14:paraId="5B520D6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3260B5D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507711E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用户更适合案例式表达</w:t>
            </w:r>
          </w:p>
        </w:tc>
      </w:tr>
      <w:tr w14:paraId="32731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5" w:type="dxa"/>
            <w:vAlign w:val="center"/>
          </w:tcPr>
          <w:p w14:paraId="7AECE31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E08</w:t>
            </w:r>
          </w:p>
        </w:tc>
        <w:tc>
          <w:tcPr>
            <w:tcW w:w="1605" w:type="dxa"/>
            <w:vAlign w:val="center"/>
          </w:tcPr>
          <w:p w14:paraId="49778BA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why_now</w:t>
            </w:r>
          </w:p>
        </w:tc>
        <w:tc>
          <w:tcPr>
            <w:tcW w:w="1605" w:type="dxa"/>
            <w:vAlign w:val="center"/>
          </w:tcPr>
          <w:p w14:paraId="7290C60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为什么当前阶段优先发</w:t>
            </w:r>
          </w:p>
        </w:tc>
        <w:tc>
          <w:tcPr>
            <w:tcW w:w="1605" w:type="dxa"/>
            <w:vAlign w:val="center"/>
          </w:tcPr>
          <w:p w14:paraId="56F571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text</w:t>
            </w:r>
          </w:p>
        </w:tc>
        <w:tc>
          <w:tcPr>
            <w:tcW w:w="1605" w:type="dxa"/>
            <w:vAlign w:val="center"/>
          </w:tcPr>
          <w:p w14:paraId="7B2021E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建议</w:t>
            </w:r>
          </w:p>
        </w:tc>
        <w:tc>
          <w:tcPr>
            <w:tcW w:w="1605" w:type="dxa"/>
            <w:vAlign w:val="center"/>
          </w:tcPr>
          <w:p w14:paraId="36C0D9F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用于阶段1先建立行业判断</w:t>
            </w:r>
          </w:p>
        </w:tc>
      </w:tr>
    </w:tbl>
    <w:p w14:paraId="2E9ADF8E">
      <w:pPr>
        <w:rPr>
          <w:rFonts w:hint="eastAsia" w:ascii="微软雅黑" w:hAnsi="微软雅黑" w:eastAsia="微软雅黑" w:cs="微软雅黑"/>
        </w:rPr>
      </w:pPr>
    </w:p>
    <w:p w14:paraId="68A76ECE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G06 策略装配</w:t>
      </w:r>
    </w:p>
    <w:p w14:paraId="5BAF59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装配技巧库、模板库、用户拆解库与时长×路线×结构映射规则。</w:t>
      </w:r>
    </w:p>
    <w:p w14:paraId="383707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控制说明：不足时执行降级逻辑。</w:t>
      </w:r>
    </w:p>
    <w:p w14:paraId="45EDF0E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G05｜选题确认与证据召回（Topic Confirm &amp; Evidence Retrieval）</w:t>
      </w:r>
    </w:p>
    <w:p w14:paraId="4C760B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节点目标：若用户给的是 idea，则先形成 topic_confirmed；若用户已选题，则围绕该题召回资料库、访谈、定位与阶段规划中的相关证据。</w:t>
      </w:r>
    </w:p>
    <w:p w14:paraId="06D88C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触发条件：G04 完成后触发。</w:t>
      </w:r>
    </w:p>
    <w:p w14:paraId="3E730B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主执行角色：生成智能体</w:t>
      </w:r>
    </w:p>
    <w:p w14:paraId="569D5A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异常条件：证据不足；题目抽象度过高；用户表达意图不清。</w:t>
      </w:r>
    </w:p>
    <w:p w14:paraId="1113A9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后续动作：继续最小必要澄清或输出低置信度草案框架。</w:t>
      </w:r>
    </w:p>
    <w:p w14:paraId="045B0EA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G06｜结构规划与稿件 brief 生成（Script Brief Assembly）</w:t>
      </w:r>
    </w:p>
    <w:p w14:paraId="257346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节点目标：把时长、平台、路线、目的映射成对应的结构模板，形成 script brief。</w:t>
      </w:r>
    </w:p>
    <w:p w14:paraId="0AD76C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触发条件：G05 完成后触发。</w:t>
      </w:r>
    </w:p>
    <w:p w14:paraId="270F92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失败 / 异常条件：时长要求与平台风格冲突；无法判断应该走案例型、观点型、清单型还是访谈式表达。</w:t>
      </w:r>
    </w:p>
    <w:p w14:paraId="16D840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回退 / 后续动作：允许给出 1–2 个结构候选；必要时执行 brief_repair。</w:t>
      </w:r>
    </w:p>
    <w:p w14:paraId="3DDB052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已选题直接生成模式</w:t>
      </w:r>
    </w:p>
    <w:p w14:paraId="0FA907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适用场景：用户已从第三阶段确认 topic_id 或明确指定某条选题。</w:t>
      </w:r>
    </w:p>
    <w:p w14:paraId="10FD85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生成任务：直接按已锁定路线、阶段目标和选题意图出稿。</w:t>
      </w:r>
    </w:p>
    <w:p w14:paraId="567C42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附加要求：回传 stage3_sync_payload，写明 topic_id、script_id、script_status、used_at 等字段。</w:t>
      </w:r>
    </w:p>
    <w:p w14:paraId="0BECBB06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自由想法梳理模式</w:t>
      </w:r>
    </w:p>
    <w:p w14:paraId="0C2F91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适用场景：用户只有一个想法、观点、片段表达、临时灵感。</w:t>
      </w:r>
    </w:p>
    <w:p w14:paraId="5CCEE6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生成任务：先通过最小必要交流把想法收束成可用选题，再进入文案生成。</w:t>
      </w:r>
    </w:p>
    <w:p w14:paraId="6C5A4A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同步边界：若形成新选题，建议同步生成标准 topic_id，并回写第三阶段候选池，不得形成独立于第三阶段之外的影子题池。</w:t>
      </w:r>
    </w:p>
    <w:p w14:paraId="06CA9C67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4.2 时长 × 路线 × 结构映射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08B72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shd w:val="clear" w:color="auto" w:fill="EDE6FA"/>
            <w:vAlign w:val="center"/>
          </w:tcPr>
          <w:p w14:paraId="3777D50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时长档位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456693E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ToB 推荐结构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6358FE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ToC 推荐结构</w:t>
            </w:r>
          </w:p>
        </w:tc>
        <w:tc>
          <w:tcPr>
            <w:tcW w:w="2408" w:type="dxa"/>
            <w:shd w:val="clear" w:color="auto" w:fill="EDE6FA"/>
            <w:vAlign w:val="center"/>
          </w:tcPr>
          <w:p w14:paraId="38510D7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备注</w:t>
            </w:r>
          </w:p>
        </w:tc>
      </w:tr>
      <w:tr w14:paraId="2F4A8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DD9850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20–30 秒</w:t>
            </w:r>
          </w:p>
        </w:tc>
        <w:tc>
          <w:tcPr>
            <w:tcW w:w="2408" w:type="dxa"/>
            <w:vAlign w:val="center"/>
          </w:tcPr>
          <w:p w14:paraId="0F99BA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钩子 + 单判断 + 单结论</w:t>
            </w:r>
          </w:p>
        </w:tc>
        <w:tc>
          <w:tcPr>
            <w:tcW w:w="2408" w:type="dxa"/>
            <w:vAlign w:val="center"/>
          </w:tcPr>
          <w:p w14:paraId="2C128AB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钩子 + 单感受 / 单变化 + 单收尾</w:t>
            </w:r>
          </w:p>
        </w:tc>
        <w:tc>
          <w:tcPr>
            <w:tcW w:w="2408" w:type="dxa"/>
            <w:vAlign w:val="center"/>
          </w:tcPr>
          <w:p w14:paraId="7199FA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适合短钩子或评论区引流型</w:t>
            </w:r>
          </w:p>
        </w:tc>
      </w:tr>
      <w:tr w14:paraId="3BA28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CDD30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45–90 秒</w:t>
            </w:r>
          </w:p>
        </w:tc>
        <w:tc>
          <w:tcPr>
            <w:tcW w:w="2408" w:type="dxa"/>
            <w:vAlign w:val="center"/>
          </w:tcPr>
          <w:p w14:paraId="79AAB0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钩子 + 场景 / 案例 + 判断 + 收尾</w:t>
            </w:r>
          </w:p>
        </w:tc>
        <w:tc>
          <w:tcPr>
            <w:tcW w:w="2408" w:type="dxa"/>
            <w:vAlign w:val="center"/>
          </w:tcPr>
          <w:p w14:paraId="3C6DEA4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钩子 + 情绪 / 故事 + 转折 + 收尾</w:t>
            </w:r>
          </w:p>
        </w:tc>
        <w:tc>
          <w:tcPr>
            <w:tcW w:w="2408" w:type="dxa"/>
            <w:vAlign w:val="center"/>
          </w:tcPr>
          <w:p w14:paraId="2AB954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适合大多数标准口播</w:t>
            </w:r>
          </w:p>
        </w:tc>
      </w:tr>
      <w:tr w14:paraId="23A20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4366A4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90–180 秒</w:t>
            </w:r>
          </w:p>
        </w:tc>
        <w:tc>
          <w:tcPr>
            <w:tcW w:w="2408" w:type="dxa"/>
            <w:vAlign w:val="center"/>
          </w:tcPr>
          <w:p w14:paraId="282904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钩子 + 铺垫 + 案例 + 提炼 + 收尾</w:t>
            </w:r>
          </w:p>
        </w:tc>
        <w:tc>
          <w:tcPr>
            <w:tcW w:w="2408" w:type="dxa"/>
            <w:vAlign w:val="center"/>
          </w:tcPr>
          <w:p w14:paraId="3FE2A2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钩子 + 故事 + 转折 + 提炼 + 收尾</w:t>
            </w:r>
          </w:p>
        </w:tc>
        <w:tc>
          <w:tcPr>
            <w:tcW w:w="2408" w:type="dxa"/>
            <w:vAlign w:val="center"/>
          </w:tcPr>
          <w:p w14:paraId="43A5160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1"/>
              </w:rPr>
              <w:t>适合深讲型内容或阶段重点稿</w:t>
            </w:r>
          </w:p>
        </w:tc>
      </w:tr>
    </w:tbl>
    <w:p w14:paraId="60602AD5">
      <w:pPr>
        <w:rPr>
          <w:rFonts w:hint="eastAsia" w:ascii="微软雅黑" w:hAnsi="微软雅黑" w:eastAsia="微软雅黑" w:cs="微软雅黑"/>
        </w:rPr>
      </w:pPr>
    </w:p>
    <w:p w14:paraId="364ACCB3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核心生成规则</w:t>
      </w:r>
    </w:p>
    <w:p w14:paraId="01D438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先对齐路线，再对齐用户，再对齐结构，最后追求传播表现。</w:t>
      </w:r>
    </w:p>
    <w:p w14:paraId="5AF803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ToB 文案更偏信任、判断、案例、决策与咨询前教育；ToC 文案更偏情绪、变化、体验、结果感与转化。</w:t>
      </w:r>
    </w:p>
    <w:p w14:paraId="2F8AA0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模板与技巧只能增强表达，不得覆盖用户真实情况与上游定位。</w:t>
      </w:r>
    </w:p>
    <w:p w14:paraId="4F222A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文案应尽量提供 why_this_script / why_this_structure / why_now 三类轻解释字段。</w:t>
      </w:r>
    </w:p>
    <w:bookmarkEnd w:id="0"/>
    <w:sectPr>
      <w:pgSz w:w="12240" w:h="15840"/>
      <w:pgMar w:top="1247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0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panose1 w:val="02060409020205020404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1A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00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597</Words>
  <Characters>902</Characters>
  <Lines>0</Lines>
  <Paragraphs>0</Paragraphs>
  <TotalTime>0</TotalTime>
  <ScaleCrop>false</ScaleCrop>
  <LinksUpToDate>false</LinksUpToDate>
  <CharactersWithSpaces>939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w。</cp:lastModifiedBy>
  <dcterms:modified xsi:type="dcterms:W3CDTF">2026-04-17T09:26:39Z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eyJoZGlkIjoiMjBiNTY5NTljZjliNjJmYTk0NjJkMGQzZjU2YjlmYzUiLCJ1c2VySWQiOiI0MzQ0MTQ5MTgifQ==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AB5B863BBDA54930A3446E501D32F5D2_12</vt:lpwstr>
  </property>
</Properties>
</file>