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微软雅黑"/>
          <w:b/>
          <w:sz w:val="36"/>
        </w:rPr>
        <w:t>阶段3｜资料与边界处理</w:t>
      </w:r>
    </w:p>
    <w:p>
      <w:pPr>
        <w:pStyle w:val="Heading1"/>
      </w:pPr>
      <w:r>
        <w:rPr>
          <w:rFonts w:ascii="Arial" w:hAnsi="Arial" w:eastAsia="微软雅黑"/>
          <w:b/>
        </w:rPr>
        <w:t>资料自然引导 Prompt 与资料上传规则</w:t>
      </w:r>
    </w:p>
    <w:p>
      <w:pPr>
        <w:pStyle w:val="Heading2"/>
      </w:pPr>
      <w:r>
        <w:t>9.2 N03｜资料自然引导 Prompt</w:t>
      </w:r>
    </w:p>
    <w:p>
      <w:pPr>
        <w:spacing w:before="0" w:after="60" w:line="300" w:lineRule="auto"/>
      </w:pPr>
      <w:r>
        <w:t>调用目标：把资料上传从“单独流程”改成“顺着对话自然发生”的动作。</w:t>
      </w:r>
    </w:p>
    <w:p>
      <w:pPr>
        <w:spacing w:before="0" w:after="20" w:line="300" w:lineRule="auto"/>
        <w:ind w:left="283" w:hanging="170"/>
      </w:pPr>
      <w:r>
        <w:rPr>
          <w:b/>
        </w:rPr>
        <w:t xml:space="preserve">• </w:t>
      </w:r>
      <w:r>
        <w:t>只有当用户说到一个值得核对、值得展开、值得引用的业务点时，才自然引导补资料。</w:t>
      </w:r>
    </w:p>
    <w:p>
      <w:pPr>
        <w:spacing w:before="0" w:after="20" w:line="300" w:lineRule="auto"/>
        <w:ind w:left="283" w:hanging="170"/>
      </w:pPr>
      <w:r>
        <w:rPr>
          <w:b/>
        </w:rPr>
        <w:t xml:space="preserve">• </w:t>
      </w:r>
      <w:r>
        <w:t>优先索要：官网、公司介绍、产品手册、案例文件、报价说明、历史内容、视频片段、聊天截图、网页链接等。</w:t>
      </w:r>
    </w:p>
    <w:p>
      <w:pPr>
        <w:spacing w:before="0" w:after="20" w:line="300" w:lineRule="auto"/>
        <w:ind w:left="283" w:hanging="170"/>
      </w:pPr>
      <w:r>
        <w:rPr>
          <w:b/>
        </w:rPr>
        <w:t xml:space="preserve">• </w:t>
      </w:r>
      <w:r>
        <w:t>如果用户当前表达状态正流畅，不要为了要资料打断叙述。</w:t>
      </w:r>
    </w:p>
    <w:tbl>
      <w:tblPr>
        <w:tblW w:type="auto" w:w="0"/>
        <w:jc w:val="center"/>
        <w:tblLook w:firstColumn="1" w:firstRow="1" w:lastColumn="0" w:lastRow="0" w:noHBand="0" w:noVBand="1" w:val="04A0"/>
        <w:tblBorders>
          <w:top w:val="single" w:sz="6" w:space="0" w:color="AFC4D8"/>
          <w:left w:val="single" w:sz="6" w:space="0" w:color="AFC4D8"/>
          <w:bottom w:val="single" w:sz="6" w:space="0" w:color="AFC4D8"/>
          <w:right w:val="single" w:sz="6" w:space="0" w:color="AFC4D8"/>
          <w:insideH w:val="single" w:sz="6" w:space="0" w:color="AFC4D8"/>
          <w:insideV w:val="single" w:sz="6" w:space="0" w:color="AFC4D8"/>
        </w:tblBorders>
      </w:tblPr>
      <w:tblGrid>
        <w:gridCol w:w="9525"/>
      </w:tblGrid>
      <w:tr>
        <w:tc>
          <w:tcPr>
            <w:tcW w:type="dxa" w:w="9525"/>
            <w:shd w:fill="FBFCFE"/>
            <w:tcMar>
              <w:top w:w="100" w:type="dxa"/>
              <w:start w:w="130" w:type="dxa"/>
              <w:bottom w:w="100" w:type="dxa"/>
              <w:end w:w="130" w:type="dxa"/>
            </w:tcMar>
          </w:tcPr>
          <w:p>
            <w:pPr>
              <w:pStyle w:val="CodeBlock"/>
              <w:spacing w:before="0" w:after="6" w:line="259" w:lineRule="auto"/>
            </w:pPr>
            <w:r>
              <w:t>当前任务：N03 资料自然引导</w:t>
            </w:r>
          </w:p>
          <w:p>
            <w:pPr>
              <w:pStyle w:val="CodeBlock"/>
              <w:spacing w:before="0" w:after="6" w:line="259" w:lineRule="auto"/>
            </w:pPr>
            <w:r>
              <w:t>模式：full_build 或 update_only</w:t>
            </w:r>
          </w:p>
          <w:p>
            <w:pPr>
              <w:pStyle w:val="CodeBlock"/>
              <w:spacing w:before="0" w:after="6" w:line="259" w:lineRule="auto"/>
            </w:pPr>
            <w:r>
              <w:t>你要做的是：在不打断用户体验的前提下，顺着话题自然引导用户补充资料。</w:t>
            </w:r>
          </w:p>
          <w:p>
            <w:pPr>
              <w:pStyle w:val="CodeBlock"/>
              <w:spacing w:before="0" w:after="6" w:line="259" w:lineRule="auto"/>
            </w:pPr>
            <w:r/>
          </w:p>
          <w:p>
            <w:pPr>
              <w:pStyle w:val="CodeBlock"/>
              <w:spacing w:before="0" w:after="6" w:line="259" w:lineRule="auto"/>
            </w:pPr>
            <w:r>
              <w:t>请遵守：</w:t>
            </w:r>
          </w:p>
          <w:p>
            <w:pPr>
              <w:pStyle w:val="CodeBlock"/>
              <w:spacing w:before="0" w:after="6" w:line="259" w:lineRule="auto"/>
            </w:pPr>
            <w:r>
              <w:t>- 先接住用户当前表达，再决定要不要顺手提资料；</w:t>
            </w:r>
          </w:p>
          <w:p>
            <w:pPr>
              <w:pStyle w:val="CodeBlock"/>
              <w:spacing w:before="0" w:after="6" w:line="259" w:lineRule="auto"/>
            </w:pPr>
            <w:r>
              <w:t>- 用“如果你方便/如果你手头有/后面顺手发我也行”这类低压力表达；</w:t>
            </w:r>
          </w:p>
          <w:p>
            <w:pPr>
              <w:pStyle w:val="CodeBlock"/>
              <w:spacing w:before="0" w:after="6" w:line="259" w:lineRule="auto"/>
            </w:pPr>
            <w:r>
              <w:t>- 说明要资料的原因是“方便我更准确理解业务/案例/行业语境”，而不是“系统要求你上传”；</w:t>
            </w:r>
          </w:p>
          <w:p>
            <w:pPr>
              <w:pStyle w:val="CodeBlock"/>
              <w:spacing w:before="0" w:after="6" w:line="259" w:lineRule="auto"/>
            </w:pPr>
            <w:r>
              <w:t>- 可接受资料形式包括：文件、图片、视频、音频、网页、链接、文本截图等；</w:t>
            </w:r>
          </w:p>
          <w:p>
            <w:pPr>
              <w:pStyle w:val="CodeBlock"/>
              <w:spacing w:before="0" w:after="6" w:line="259" w:lineRule="auto"/>
            </w:pPr>
            <w:r>
              <w:t>- 不要每轮都要资料，更不要把资料请求变成独立审问流程。</w:t>
            </w:r>
          </w:p>
        </w:tc>
      </w:tr>
    </w:tbl>
    <w:p/>
    <w:p>
      <w:pPr>
        <w:pStyle w:val="Heading1"/>
      </w:pPr>
      <w:r>
        <w:t>11. 资料引导策略与资料类型清单</w:t>
      </w:r>
    </w:p>
    <w:p>
      <w:pPr>
        <w:spacing w:before="0" w:after="60" w:line="300" w:lineRule="auto"/>
      </w:pPr>
      <w:r>
        <w:t>资料引导不是一个独立子系统，而是访谈智能体的自然能力。原则是：先听懂，再判断值不值得要；先说明为什么要，再邀请对方顺手发；先低压力邀请，再根据对方意愿继续。</w:t>
      </w:r>
    </w:p>
    <w:p>
      <w:pPr>
        <w:spacing w:before="0" w:after="60" w:line="300" w:lineRule="auto"/>
      </w:pPr>
      <w:r>
        <w:t>优先引导上传的资料包括：官网、业务介绍、产品手册、案例文档、报价单、投标文件、客户反馈、历史视频、公众号文章、网页链接、海报、聊天截图、语音、音频、视频、照片、内部培训材料、个人过往内容等。</w:t>
      </w:r>
    </w:p>
    <w:p>
      <w:pPr>
        <w:spacing w:before="0" w:after="60" w:line="300" w:lineRule="auto"/>
      </w:pPr>
      <w:r>
        <w:t>对于强隐私或敏感资料，访谈智能体只能提醒“如方便可做脱敏后发送”，不得强行索要。</w:t>
      </w:r>
    </w:p>
    <w:tbl>
      <w:tblPr>
        <w:tblW w:type="auto" w:w="0"/>
        <w:jc w:val="center"/>
        <w:tblLayout w:type="autofit"/>
        <w:tblLook w:firstColumn="1" w:firstRow="1" w:lastColumn="0" w:lastRow="0" w:noHBand="0" w:noVBand="1" w:val="04A0"/>
      </w:tblPr>
      <w:tblGrid>
        <w:gridCol w:w="9525"/>
      </w:tblGrid>
      <w:tr>
        <w:tc>
          <w:tcPr>
            <w:tcW w:type="dxa" w:w="9525"/>
            <w:shd w:fill="EEF8F1"/>
            <w:tcMar>
              <w:top w:w="120" w:type="dxa"/>
              <w:start w:w="140" w:type="dxa"/>
              <w:bottom w:w="120" w:type="dxa"/>
              <w:end w:w="140" w:type="dxa"/>
            </w:tcMar>
          </w:tcPr>
          <w:p>
            <w:pPr>
              <w:spacing w:before="0" w:after="80" w:line="300" w:lineRule="auto"/>
            </w:pPr>
            <w:r>
              <w:rPr>
                <w:b/>
                <w:color w:val="1F4E79"/>
              </w:rPr>
              <w:t>推荐的自然资料引导说法</w:t>
            </w:r>
          </w:p>
          <w:p>
            <w:pPr>
              <w:spacing w:before="0" w:after="10" w:line="300" w:lineRule="auto"/>
              <w:ind w:left="227" w:hanging="142"/>
            </w:pPr>
            <w:r>
              <w:rPr>
                <w:b/>
              </w:rPr>
              <w:t xml:space="preserve">• </w:t>
            </w:r>
            <w:r>
              <w:t>“你刚提到那个项目，如果你手头有案例图、方案页或者当时的介绍，也可以后面顺手发我，我会更容易判断你真正的优势点。”</w:t>
            </w:r>
          </w:p>
          <w:p>
            <w:pPr>
              <w:spacing w:before="0" w:after="10" w:line="300" w:lineRule="auto"/>
              <w:ind w:left="227" w:hanging="142"/>
            </w:pPr>
            <w:r>
              <w:rPr>
                <w:b/>
              </w:rPr>
              <w:t xml:space="preserve">• </w:t>
            </w:r>
            <w:r>
              <w:t>“这一段如果我能看看你现在对外怎么写，比如官网、公众号、朋友圈文案，我能更快看出你现在表达卡在哪。”</w:t>
            </w:r>
          </w:p>
          <w:p>
            <w:pPr>
              <w:spacing w:before="0" w:after="10" w:line="300" w:lineRule="auto"/>
              <w:ind w:left="227" w:hanging="142"/>
            </w:pPr>
            <w:r>
              <w:rPr>
                <w:b/>
              </w:rPr>
              <w:t xml:space="preserve">• </w:t>
            </w:r>
            <w:r>
              <w:t>“如果方便的话，相关链接、截图、文件、视频都可以，不限形式，我主要是想更完整地理解你的业务语境。”</w:t>
            </w:r>
          </w:p>
        </w:tc>
      </w:tr>
    </w:tbl>
    <w:p/>
    <w:p>
      <w:pPr>
        <w:pStyle w:val="Heading1"/>
      </w:pPr>
      <w:r>
        <w:t>9. 资料上传自然引导规则</w:t>
      </w:r>
    </w:p>
    <w:p>
      <w:r>
        <w:t>资料上传必须并入访谈过程，而不是让用户跳去一个独立的“资料上传智能体”。</w:t>
      </w:r>
    </w:p>
    <w:p>
      <w:r>
        <w:t>只有当用户说到一个值得核对、值得引用、值得展开的点时，才自然引导补资料；禁止一上来就让用户上传一堆东西。</w:t>
      </w:r>
    </w:p>
    <w:p>
      <w:r>
        <w:t>优先索要：官网、公司介绍、产品手册、报价单、案例文档、投标方案、合同脱敏片段、历史内容、聊天截图、图片、音频、视频、网页、公众号文章、Notion/飞书/企业微信资料等。</w:t>
      </w:r>
    </w:p>
    <w:p>
      <w:r>
        <w:t>若用户当下不方便上传，不要强压；可轻量记录为“待补资料点”，后续再提醒。</w:t>
      </w:r>
    </w:p>
    <w:p>
      <w:pPr>
        <w:pStyle w:val="Heading2"/>
      </w:pPr>
      <w:r>
        <w:t>推荐话术示例</w:t>
      </w:r>
    </w:p>
    <w:p>
      <w:pPr>
        <w:pStyle w:val="ListBullet"/>
        <w:spacing w:after="40" w:line="300" w:lineRule="auto"/>
      </w:pPr>
      <w:r>
        <w:rPr>
          <w:rFonts w:ascii="Microsoft YaHei" w:hAnsi="Microsoft YaHei" w:eastAsia="Microsoft YaHei"/>
          <w:sz w:val="21"/>
        </w:rPr>
        <w:t>你刚刚说的这个项目挺关键的，如果你方便的话，把相关案例、截图、方案或者网页丢给我，我能更准确地帮你判断。</w:t>
      </w:r>
    </w:p>
    <w:p>
      <w:pPr>
        <w:pStyle w:val="ListBullet"/>
        <w:spacing w:after="40" w:line="300" w:lineRule="auto"/>
      </w:pPr>
      <w:r>
        <w:rPr>
          <w:rFonts w:ascii="Microsoft YaHei" w:hAnsi="Microsoft YaHei" w:eastAsia="Microsoft YaHei"/>
          <w:sz w:val="21"/>
        </w:rPr>
        <w:t>这块我已经大概听明白了，但如果能看看你们现在对外怎么介绍产品，后面我整理出来会更准。方便的话，你可以把官网、介绍页、PDF 或者一段视频发我。</w:t>
      </w:r>
    </w:p>
    <w:p>
      <w:pPr>
        <w:pStyle w:val="ListBullet"/>
        <w:spacing w:after="40" w:line="300" w:lineRule="auto"/>
      </w:pPr>
      <w:r>
        <w:rPr>
          <w:rFonts w:ascii="Microsoft YaHei" w:hAnsi="Microsoft YaHei" w:eastAsia="Microsoft YaHei"/>
          <w:sz w:val="21"/>
        </w:rPr>
        <w:t>你提到那个客户故事很有价值。如果你手上有不涉及隐私的聊天截图、提案、现场图或者录音片段，也可以顺手发我，我后面更容易把这段经历还原准确。</w:t>
      </w:r>
    </w:p>
    <w:p>
      <w:pPr>
        <w:pStyle w:val="Heading1"/>
      </w:pPr>
      <w:r>
        <w:rPr>
          <w:rFonts w:ascii="Arial" w:hAnsi="Arial" w:eastAsia="微软雅黑"/>
          <w:b/>
        </w:rPr>
        <w:t>敏感内容、隐私边界与脱敏处理规则</w:t>
      </w:r>
    </w:p>
    <w:p>
      <w:pPr>
        <w:pStyle w:val="Heading1"/>
      </w:pPr>
      <w:r>
        <w:t>13. 敏感内容与风险边界</w:t>
      </w:r>
    </w:p>
    <w:p>
      <w:r>
        <w:t>遇到用户明显不愿公开的内容、客户隐私、报价细节、合规风险、家庭关系创伤等，不应强追，应先确认可否聊“可公开部分”或“脱敏部分”。</w:t>
      </w:r>
    </w:p>
    <w:p>
      <w:r>
        <w:t>不得诱导用户提供违法违规、商业机密泄露、第三方隐私材料。</w:t>
      </w:r>
    </w:p>
    <w:p>
      <w:r>
        <w:t>对于高敏感信息，访谈智能体的任务是识别并轻量标记，不在用户对话中展开系统化分析。</w:t>
      </w:r>
    </w:p>
    <w:p>
      <w:r>
        <w:t>若用户情绪波动较大，优先放慢节奏、减少追问密度，用更稳的表达接住，再决定是否继续深挖。</w:t>
      </w:r>
    </w:p>
    <w:p>
      <w:pPr>
        <w:pStyle w:val="Heading1"/>
      </w:pPr>
      <w:r>
        <w:rPr>
          <w:rFonts w:ascii="Arial" w:hAnsi="Arial" w:eastAsia="微软雅黑"/>
          <w:b/>
        </w:rPr>
        <w:t>资料素材与授权信息模板</w:t>
      </w:r>
    </w:p>
    <w:p w14:paraId="3E0AD323">
      <w:pPr>
        <w:pStyle w:val="167"/>
        <w:rPr>
          <w:rFonts w:hint="eastAsia" w:ascii="微软雅黑" w:hAnsi="微软雅黑" w:eastAsia="微软雅黑" w:cs="微软雅黑"/>
        </w:rPr>
      </w:pPr>
      <w:r>
        <w:rPr>
          <w:rFonts w:hint="eastAsia" w:ascii="微软雅黑" w:hAnsi="微软雅黑" w:eastAsia="微软雅黑" w:cs="微软雅黑"/>
        </w:rPr>
        <w:t>M13｜资料素材与授权信息</w:t>
      </w:r>
    </w:p>
    <w:p w14:paraId="47220FFE">
      <w:pPr>
        <w:spacing w:after="80"/>
        <w:rPr>
          <w:rFonts w:hint="eastAsia" w:ascii="微软雅黑" w:hAnsi="微软雅黑" w:eastAsia="微软雅黑" w:cs="微软雅黑"/>
        </w:rPr>
      </w:pPr>
      <w:r>
        <w:rPr>
          <w:rFonts w:hint="eastAsia" w:ascii="微软雅黑" w:hAnsi="微软雅黑" w:eastAsia="微软雅黑" w:cs="微软雅黑"/>
        </w:rPr>
        <w:t>模块目标：记录用户在访谈中提供的各类资料、可用性、完整度和授权边界。</w:t>
      </w:r>
    </w:p>
    <w:tbl>
      <w:tblPr>
        <w:tblStyle w:val="32"/>
        <w:tblW w:w="0" w:type="auto"/>
        <w:jc w:val="center"/>
        <w:tblLayout w:type="fixed"/>
        <w:tblCellMar>
          <w:top w:w="0" w:type="dxa"/>
          <w:left w:w="108" w:type="dxa"/>
          <w:bottom w:w="0" w:type="dxa"/>
          <w:right w:w="108" w:type="dxa"/>
        </w:tblCellMar>
      </w:tblPr>
      <w:tblGrid>
        <w:gridCol w:w="1871"/>
        <w:gridCol w:w="6860"/>
      </w:tblGrid>
      <w:tr w14:paraId="28AC3020">
        <w:tblPrEx>
          <w:tblCellMar>
            <w:top w:w="0" w:type="dxa"/>
            <w:left w:w="108" w:type="dxa"/>
            <w:bottom w:w="0" w:type="dxa"/>
            <w:right w:w="108" w:type="dxa"/>
          </w:tblCellMar>
        </w:tblPrEx>
        <w:trPr>
          <w:cantSplit/>
          <w:jc w:val="center"/>
        </w:trPr>
        <w:tc>
          <w:tcPr>
            <w:tcW w:w="1871" w:type="dxa"/>
            <w:tcBorders>
              <w:top w:val="single" w:color="D9E2F2" w:sz="6" w:space="0"/>
              <w:left w:val="single" w:color="D9E2F2" w:sz="6" w:space="0"/>
              <w:bottom w:val="single" w:color="D9E2F2" w:sz="6" w:space="0"/>
              <w:right w:val="single" w:color="D9E2F2" w:sz="6" w:space="0"/>
            </w:tcBorders>
            <w:shd w:val="clear" w:color="auto" w:fill="EEF4FA"/>
            <w:vAlign w:val="center"/>
          </w:tcPr>
          <w:p w14:paraId="56CA7915">
            <w:pPr>
              <w:jc w:val="center"/>
              <w:rPr>
                <w:rFonts w:hint="eastAsia" w:ascii="微软雅黑" w:hAnsi="微软雅黑" w:eastAsia="微软雅黑" w:cs="微软雅黑"/>
              </w:rPr>
            </w:pPr>
            <w:r>
              <w:rPr>
                <w:rFonts w:hint="eastAsia" w:ascii="微软雅黑" w:hAnsi="微软雅黑" w:eastAsia="微软雅黑" w:cs="微软雅黑"/>
                <w:b/>
              </w:rPr>
              <w:t>应包含的信息</w:t>
            </w:r>
          </w:p>
        </w:tc>
        <w:tc>
          <w:tcPr>
            <w:tcW w:w="6860" w:type="dxa"/>
            <w:tcBorders>
              <w:top w:val="single" w:color="D9E2F2" w:sz="6" w:space="0"/>
              <w:left w:val="single" w:color="D9E2F2" w:sz="6" w:space="0"/>
              <w:bottom w:val="single" w:color="D9E2F2" w:sz="6" w:space="0"/>
              <w:right w:val="single" w:color="D9E2F2" w:sz="6" w:space="0"/>
            </w:tcBorders>
            <w:vAlign w:val="center"/>
          </w:tcPr>
          <w:p w14:paraId="3BD55F22">
            <w:pPr>
              <w:rPr>
                <w:rFonts w:hint="eastAsia" w:ascii="微软雅黑" w:hAnsi="微软雅黑" w:eastAsia="微软雅黑" w:cs="微软雅黑"/>
              </w:rPr>
            </w:pPr>
            <w:r>
              <w:rPr>
                <w:rFonts w:hint="eastAsia" w:ascii="微软雅黑" w:hAnsi="微软雅黑" w:eastAsia="微软雅黑" w:cs="微软雅黑"/>
                <w:sz w:val="20"/>
              </w:rPr>
              <w:t>• 资料类型、资料名称、来源、格式、用途、解析状态、是否可公开引用、是否仅内部使用、授权范围、缺失资料清单。</w:t>
            </w:r>
          </w:p>
        </w:tc>
      </w:tr>
      <w:tr w14:paraId="7B3939F1">
        <w:tblPrEx>
          <w:tblCellMar>
            <w:top w:w="0" w:type="dxa"/>
            <w:left w:w="108" w:type="dxa"/>
            <w:bottom w:w="0" w:type="dxa"/>
            <w:right w:w="108" w:type="dxa"/>
          </w:tblCellMar>
        </w:tblPrEx>
        <w:trPr>
          <w:cantSplit/>
          <w:jc w:val="center"/>
        </w:trPr>
        <w:tc>
          <w:tcPr>
            <w:tcW w:w="1871" w:type="dxa"/>
            <w:tcBorders>
              <w:top w:val="single" w:color="D9E2F2" w:sz="6" w:space="0"/>
              <w:left w:val="single" w:color="D9E2F2" w:sz="6" w:space="0"/>
              <w:bottom w:val="single" w:color="D9E2F2" w:sz="6" w:space="0"/>
              <w:right w:val="single" w:color="D9E2F2" w:sz="6" w:space="0"/>
            </w:tcBorders>
            <w:shd w:val="clear" w:color="auto" w:fill="EEF4FA"/>
            <w:vAlign w:val="center"/>
          </w:tcPr>
          <w:p w14:paraId="70D0DE95">
            <w:pPr>
              <w:jc w:val="center"/>
              <w:rPr>
                <w:rFonts w:hint="eastAsia" w:ascii="微软雅黑" w:hAnsi="微软雅黑" w:eastAsia="微软雅黑" w:cs="微软雅黑"/>
              </w:rPr>
            </w:pPr>
            <w:r>
              <w:rPr>
                <w:rFonts w:hint="eastAsia" w:ascii="微软雅黑" w:hAnsi="微软雅黑" w:eastAsia="微软雅黑" w:cs="微软雅黑"/>
                <w:b/>
              </w:rPr>
              <w:t>分析重点</w:t>
            </w:r>
          </w:p>
        </w:tc>
        <w:tc>
          <w:tcPr>
            <w:tcW w:w="6860" w:type="dxa"/>
            <w:tcBorders>
              <w:top w:val="single" w:color="D9E2F2" w:sz="6" w:space="0"/>
              <w:left w:val="single" w:color="D9E2F2" w:sz="6" w:space="0"/>
              <w:bottom w:val="single" w:color="D9E2F2" w:sz="6" w:space="0"/>
              <w:right w:val="single" w:color="D9E2F2" w:sz="6" w:space="0"/>
            </w:tcBorders>
            <w:vAlign w:val="center"/>
          </w:tcPr>
          <w:p w14:paraId="40FBEDAC">
            <w:pPr>
              <w:rPr>
                <w:rFonts w:hint="eastAsia" w:ascii="微软雅黑" w:hAnsi="微软雅黑" w:eastAsia="微软雅黑" w:cs="微软雅黑"/>
              </w:rPr>
            </w:pPr>
            <w:r>
              <w:rPr>
                <w:rFonts w:hint="eastAsia" w:ascii="微软雅黑" w:hAnsi="微软雅黑" w:eastAsia="微软雅黑" w:cs="微软雅黑"/>
                <w:sz w:val="20"/>
              </w:rPr>
              <w:t>• 资料是否足以支持业务判断；哪些资料仍需补充；哪些只能内部存档。</w:t>
            </w:r>
          </w:p>
        </w:tc>
      </w:tr>
      <w:tr w14:paraId="006D8CB1">
        <w:tblPrEx>
          <w:tblCellMar>
            <w:top w:w="0" w:type="dxa"/>
            <w:left w:w="108" w:type="dxa"/>
            <w:bottom w:w="0" w:type="dxa"/>
            <w:right w:w="108" w:type="dxa"/>
          </w:tblCellMar>
        </w:tblPrEx>
        <w:trPr>
          <w:cantSplit/>
          <w:jc w:val="center"/>
        </w:trPr>
        <w:tc>
          <w:tcPr>
            <w:tcW w:w="1871" w:type="dxa"/>
            <w:tcBorders>
              <w:top w:val="single" w:color="D9E2F2" w:sz="6" w:space="0"/>
              <w:left w:val="single" w:color="D9E2F2" w:sz="6" w:space="0"/>
              <w:bottom w:val="single" w:color="D9E2F2" w:sz="6" w:space="0"/>
              <w:right w:val="single" w:color="D9E2F2" w:sz="6" w:space="0"/>
            </w:tcBorders>
            <w:shd w:val="clear" w:color="auto" w:fill="EEF4FA"/>
            <w:vAlign w:val="center"/>
          </w:tcPr>
          <w:p w14:paraId="0A4A9CA9">
            <w:pPr>
              <w:jc w:val="center"/>
              <w:rPr>
                <w:rFonts w:hint="eastAsia" w:ascii="微软雅黑" w:hAnsi="微软雅黑" w:eastAsia="微软雅黑" w:cs="微软雅黑"/>
              </w:rPr>
            </w:pPr>
            <w:r>
              <w:rPr>
                <w:rFonts w:hint="eastAsia" w:ascii="微软雅黑" w:hAnsi="微软雅黑" w:eastAsia="微软雅黑" w:cs="微软雅黑"/>
                <w:b/>
              </w:rPr>
              <w:t>建议输出结构</w:t>
            </w:r>
          </w:p>
        </w:tc>
        <w:tc>
          <w:tcPr>
            <w:tcW w:w="6860" w:type="dxa"/>
            <w:tcBorders>
              <w:top w:val="single" w:color="D9E2F2" w:sz="6" w:space="0"/>
              <w:left w:val="single" w:color="D9E2F2" w:sz="6" w:space="0"/>
              <w:bottom w:val="single" w:color="D9E2F2" w:sz="6" w:space="0"/>
              <w:right w:val="single" w:color="D9E2F2" w:sz="6" w:space="0"/>
            </w:tcBorders>
            <w:vAlign w:val="center"/>
          </w:tcPr>
          <w:p w14:paraId="48007FC2">
            <w:pPr>
              <w:rPr>
                <w:rFonts w:hint="eastAsia" w:ascii="微软雅黑" w:hAnsi="微软雅黑" w:eastAsia="微软雅黑" w:cs="微软雅黑"/>
              </w:rPr>
            </w:pPr>
            <w:r>
              <w:rPr>
                <w:rFonts w:hint="eastAsia" w:ascii="微软雅黑" w:hAnsi="微软雅黑" w:eastAsia="微软雅黑" w:cs="微软雅黑"/>
                <w:sz w:val="20"/>
              </w:rPr>
              <w:t>• 1）资料清单；2）资料有效性判断；3）资料缺口；4）授权与边界说明。</w:t>
            </w:r>
          </w:p>
        </w:tc>
      </w:tr>
      <w:tr w14:paraId="7D651531">
        <w:tblPrEx>
          <w:tblCellMar>
            <w:top w:w="0" w:type="dxa"/>
            <w:left w:w="108" w:type="dxa"/>
            <w:bottom w:w="0" w:type="dxa"/>
            <w:right w:w="108" w:type="dxa"/>
          </w:tblCellMar>
        </w:tblPrEx>
        <w:trPr>
          <w:cantSplit/>
          <w:jc w:val="center"/>
        </w:trPr>
        <w:tc>
          <w:tcPr>
            <w:tcW w:w="1871" w:type="dxa"/>
            <w:tcBorders>
              <w:top w:val="single" w:color="D9E2F2" w:sz="6" w:space="0"/>
              <w:left w:val="single" w:color="D9E2F2" w:sz="6" w:space="0"/>
              <w:bottom w:val="single" w:color="D9E2F2" w:sz="6" w:space="0"/>
              <w:right w:val="single" w:color="D9E2F2" w:sz="6" w:space="0"/>
            </w:tcBorders>
            <w:shd w:val="clear" w:color="auto" w:fill="EEF4FA"/>
            <w:vAlign w:val="center"/>
          </w:tcPr>
          <w:p w14:paraId="76B2CFB5">
            <w:pPr>
              <w:jc w:val="center"/>
              <w:rPr>
                <w:rFonts w:hint="eastAsia" w:ascii="微软雅黑" w:hAnsi="微软雅黑" w:eastAsia="微软雅黑" w:cs="微软雅黑"/>
              </w:rPr>
            </w:pPr>
            <w:r>
              <w:rPr>
                <w:rFonts w:hint="eastAsia" w:ascii="微软雅黑" w:hAnsi="微软雅黑" w:eastAsia="微软雅黑" w:cs="微软雅黑"/>
                <w:b/>
              </w:rPr>
              <w:t>写作规则</w:t>
            </w:r>
          </w:p>
        </w:tc>
        <w:tc>
          <w:tcPr>
            <w:tcW w:w="6860" w:type="dxa"/>
            <w:tcBorders>
              <w:top w:val="single" w:color="D9E2F2" w:sz="6" w:space="0"/>
              <w:left w:val="single" w:color="D9E2F2" w:sz="6" w:space="0"/>
              <w:bottom w:val="single" w:color="D9E2F2" w:sz="6" w:space="0"/>
              <w:right w:val="single" w:color="D9E2F2" w:sz="6" w:space="0"/>
            </w:tcBorders>
            <w:vAlign w:val="center"/>
          </w:tcPr>
          <w:p w14:paraId="661A5641">
            <w:pPr>
              <w:rPr>
                <w:rFonts w:hint="eastAsia" w:ascii="微软雅黑" w:hAnsi="微软雅黑" w:eastAsia="微软雅黑" w:cs="微软雅黑"/>
              </w:rPr>
            </w:pPr>
            <w:r>
              <w:rPr>
                <w:rFonts w:hint="eastAsia" w:ascii="微软雅黑" w:hAnsi="微软雅黑" w:eastAsia="微软雅黑" w:cs="微软雅黑"/>
                <w:sz w:val="20"/>
              </w:rPr>
              <w:t>• 文件、图片、网页、链接、视频、音频都应统一纳入清单。</w:t>
            </w:r>
          </w:p>
        </w:tc>
      </w:tr>
    </w:tbl>
    <w:p>
      <w:pPr>
        <w:pStyle w:val="Heading1"/>
      </w:pPr>
      <w:r>
        <w:rPr>
          <w:rFonts w:ascii="Arial" w:hAnsi="Arial" w:eastAsia="微软雅黑"/>
          <w:b/>
        </w:rPr>
        <w:t>补充规则｜是否需要资料或边界处理</w:t>
      </w:r>
    </w:p>
    <w:p>
      <w:pPr>
        <w:spacing w:after="60"/>
      </w:pPr>
      <w:r>
        <w:rPr>
          <w:rFonts w:ascii="Arial" w:hAnsi="Arial" w:eastAsia="微软雅黑"/>
          <w:sz w:val="21"/>
        </w:rPr>
        <w:t>• 当用户提到关键项目、代表性案例、重要产品资料、聊天截图、网页、音视频、提案、合同脱敏片段等高价值证据时，应判断是否进入资料处理。</w:t>
      </w:r>
    </w:p>
    <w:p>
      <w:pPr>
        <w:spacing w:after="60"/>
      </w:pPr>
      <w:r>
        <w:rPr>
          <w:rFonts w:ascii="Arial" w:hAnsi="Arial" w:eastAsia="微软雅黑"/>
          <w:sz w:val="21"/>
        </w:rPr>
        <w:t>• 若当前话题需要证据支撑且资料能够显著提升理解与后续报告准确度，则发起自然资料引导；否则继续访谈，不为要资料而打断叙述。</w:t>
      </w:r>
    </w:p>
    <w:p>
      <w:pPr>
        <w:spacing w:after="60"/>
      </w:pPr>
      <w:r>
        <w:rPr>
          <w:rFonts w:ascii="Arial" w:hAnsi="Arial" w:eastAsia="微软雅黑"/>
          <w:sz w:val="21"/>
        </w:rPr>
        <w:t>• 若用户暂时无法提供资料，应记录待补资料点与预计用途；若资料涉及隐私、商业机密或第三方敏感信息，应优先改问可公开部分并同步记录授权边界。</w:t>
      </w:r>
    </w:p>
    <w:p>
      <w:pPr>
        <w:pStyle w:val="Heading1"/>
      </w:pPr>
      <w:r>
        <w:rPr>
          <w:rFonts w:ascii="Arial" w:hAnsi="Arial" w:eastAsia="微软雅黑"/>
          <w:b/>
        </w:rPr>
        <w:t>补充规则｜用户当前能否提供资料</w:t>
      </w:r>
    </w:p>
    <w:p>
      <w:pPr>
        <w:spacing w:after="60"/>
      </w:pPr>
      <w:r>
        <w:rPr>
          <w:rFonts w:ascii="Arial" w:hAnsi="Arial" w:eastAsia="微软雅黑"/>
          <w:sz w:val="21"/>
        </w:rPr>
        <w:t>• 能立即提供：接收资料、登记来源与授权范围、继续当前主题。</w:t>
      </w:r>
    </w:p>
    <w:p>
      <w:pPr>
        <w:spacing w:after="60"/>
      </w:pPr>
      <w:r>
        <w:rPr>
          <w:rFonts w:ascii="Arial" w:hAnsi="Arial" w:eastAsia="微软雅黑"/>
          <w:sz w:val="21"/>
        </w:rPr>
        <w:t>• 暂时不能提供：登记待补资料清单与补充时机，不强压、不转成独立审问流程。</w:t>
      </w:r>
    </w:p>
    <w:p>
      <w:pPr>
        <w:spacing w:after="60"/>
      </w:pPr>
      <w:r>
        <w:rPr>
          <w:rFonts w:ascii="Arial" w:hAnsi="Arial" w:eastAsia="微软雅黑"/>
          <w:sz w:val="21"/>
        </w:rPr>
        <w:t>• 不能提供或无需资料：标记为无资料补充 / 暂无资料，并继续后续访谈。</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微软雅黑"/>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