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D31D" w14:textId="77777777" w:rsidR="00656538" w:rsidRDefault="00000000">
      <w:pPr>
        <w:spacing w:after="0" w:line="240" w:lineRule="auto"/>
        <w:ind w:left="0"/>
        <w:jc w:val="center"/>
        <w:rPr>
          <w:rFonts w:ascii="Georgia" w:eastAsia="Georgia" w:hAnsi="Georgia" w:cs="Georgia"/>
          <w:b/>
          <w:sz w:val="18"/>
          <w:szCs w:val="18"/>
        </w:rPr>
      </w:pPr>
      <w:r>
        <w:rPr>
          <w:rFonts w:ascii="Georgia" w:eastAsia="Georgia" w:hAnsi="Georgia" w:cs="Georgia"/>
          <w:b/>
          <w:sz w:val="18"/>
          <w:szCs w:val="18"/>
        </w:rPr>
        <w:t>[</w:t>
      </w:r>
      <w:r>
        <w:rPr>
          <w:rFonts w:ascii="Georgia" w:eastAsia="Georgia" w:hAnsi="Georgia" w:cs="Georgia"/>
          <w:b/>
          <w:sz w:val="18"/>
          <w:szCs w:val="18"/>
          <w:highlight w:val="yellow"/>
        </w:rPr>
        <w:t>COMPANY]</w:t>
      </w:r>
      <w:r>
        <w:rPr>
          <w:rFonts w:ascii="Georgia" w:eastAsia="Georgia" w:hAnsi="Georgia" w:cs="Georgia"/>
          <w:b/>
          <w:sz w:val="18"/>
          <w:szCs w:val="18"/>
        </w:rPr>
        <w:t xml:space="preserve"> SERIES [</w:t>
      </w:r>
      <w:r>
        <w:rPr>
          <w:rFonts w:ascii="Georgia" w:eastAsia="Georgia" w:hAnsi="Georgia" w:cs="Georgia"/>
          <w:b/>
          <w:sz w:val="18"/>
          <w:szCs w:val="18"/>
          <w:highlight w:val="yellow"/>
        </w:rPr>
        <w:t xml:space="preserve"> _</w:t>
      </w:r>
      <w:r>
        <w:rPr>
          <w:rFonts w:ascii="Georgia" w:eastAsia="Georgia" w:hAnsi="Georgia" w:cs="Georgia"/>
          <w:b/>
          <w:sz w:val="18"/>
          <w:szCs w:val="18"/>
        </w:rPr>
        <w:t>] PREFERRED STOCK FINANCING</w:t>
      </w:r>
    </w:p>
    <w:p w14:paraId="1EDB0C2E" w14:textId="77777777" w:rsidR="00656538" w:rsidRDefault="00000000">
      <w:pPr>
        <w:spacing w:after="0" w:line="240" w:lineRule="auto"/>
        <w:ind w:left="0"/>
        <w:jc w:val="center"/>
        <w:rPr>
          <w:rFonts w:ascii="Georgia" w:eastAsia="Georgia" w:hAnsi="Georgia" w:cs="Georgia"/>
          <w:b/>
          <w:sz w:val="18"/>
          <w:szCs w:val="18"/>
        </w:rPr>
      </w:pPr>
      <w:r>
        <w:rPr>
          <w:rFonts w:ascii="Georgia" w:eastAsia="Georgia" w:hAnsi="Georgia" w:cs="Georgia"/>
          <w:b/>
          <w:sz w:val="18"/>
          <w:szCs w:val="18"/>
        </w:rPr>
        <w:t>SUMMARY OF PROPOSED TERMS</w:t>
      </w:r>
    </w:p>
    <w:p w14:paraId="546EF1F0" w14:textId="77777777" w:rsidR="00656538" w:rsidRDefault="00656538">
      <w:pPr>
        <w:spacing w:after="0" w:line="240" w:lineRule="auto"/>
        <w:ind w:left="0"/>
        <w:rPr>
          <w:rFonts w:ascii="Georgia" w:eastAsia="Georgia" w:hAnsi="Georgia" w:cs="Georgia"/>
          <w:sz w:val="16"/>
          <w:szCs w:val="16"/>
        </w:rPr>
      </w:pPr>
    </w:p>
    <w:tbl>
      <w:tblPr>
        <w:tblStyle w:val="a3"/>
        <w:tblW w:w="10255" w:type="dxa"/>
        <w:jc w:val="center"/>
        <w:tblLayout w:type="fixed"/>
        <w:tblLook w:val="0400" w:firstRow="0" w:lastRow="0" w:firstColumn="0" w:lastColumn="0" w:noHBand="0" w:noVBand="1"/>
      </w:tblPr>
      <w:tblGrid>
        <w:gridCol w:w="1440"/>
        <w:gridCol w:w="8815"/>
      </w:tblGrid>
      <w:tr w:rsidR="00656538" w14:paraId="300B6E40" w14:textId="77777777">
        <w:trPr>
          <w:trHeight w:val="684"/>
          <w:jc w:val="center"/>
        </w:trPr>
        <w:tc>
          <w:tcPr>
            <w:tcW w:w="1440" w:type="dxa"/>
            <w:tcBorders>
              <w:top w:val="nil"/>
              <w:left w:val="nil"/>
              <w:bottom w:val="nil"/>
              <w:right w:val="nil"/>
            </w:tcBorders>
          </w:tcPr>
          <w:p w14:paraId="3F446AFD"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b/>
                <w:sz w:val="16"/>
                <w:szCs w:val="16"/>
              </w:rPr>
              <w:t>Investment &amp;</w:t>
            </w:r>
          </w:p>
          <w:p w14:paraId="3EC94DD8"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b/>
                <w:sz w:val="16"/>
                <w:szCs w:val="16"/>
              </w:rPr>
              <w:t xml:space="preserve">Post-Money Valuation: </w:t>
            </w:r>
          </w:p>
        </w:tc>
        <w:tc>
          <w:tcPr>
            <w:tcW w:w="8815" w:type="dxa"/>
            <w:tcBorders>
              <w:top w:val="nil"/>
              <w:left w:val="nil"/>
              <w:bottom w:val="nil"/>
              <w:right w:val="nil"/>
            </w:tcBorders>
          </w:tcPr>
          <w:p w14:paraId="4BBC1A74"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Paradigm Fund LP (together with its affiliates, “</w:t>
            </w:r>
            <w:r>
              <w:rPr>
                <w:rFonts w:ascii="Georgia" w:eastAsia="Georgia" w:hAnsi="Georgia" w:cs="Georgia"/>
                <w:b/>
                <w:sz w:val="16"/>
                <w:szCs w:val="16"/>
              </w:rPr>
              <w:t>Paradigm</w:t>
            </w:r>
            <w:r>
              <w:rPr>
                <w:rFonts w:ascii="Georgia" w:eastAsia="Georgia" w:hAnsi="Georgia" w:cs="Georgia"/>
                <w:sz w:val="16"/>
                <w:szCs w:val="16"/>
              </w:rPr>
              <w:t>”) to invest $</w:t>
            </w:r>
            <w:r>
              <w:rPr>
                <w:rFonts w:ascii="Georgia" w:eastAsia="Georgia" w:hAnsi="Georgia" w:cs="Georgia"/>
                <w:sz w:val="16"/>
                <w:szCs w:val="16"/>
                <w:highlight w:val="yellow"/>
              </w:rPr>
              <w:t>[__]</w:t>
            </w:r>
            <w:r>
              <w:rPr>
                <w:rFonts w:ascii="Georgia" w:eastAsia="Georgia" w:hAnsi="Georgia" w:cs="Georgia"/>
                <w:sz w:val="16"/>
                <w:szCs w:val="16"/>
              </w:rPr>
              <w:t>M at a $[</w:t>
            </w:r>
            <w:r>
              <w:rPr>
                <w:rFonts w:ascii="Georgia" w:eastAsia="Georgia" w:hAnsi="Georgia" w:cs="Georgia"/>
                <w:sz w:val="16"/>
                <w:szCs w:val="16"/>
                <w:highlight w:val="yellow"/>
              </w:rPr>
              <w:t>__</w:t>
            </w:r>
            <w:r>
              <w:rPr>
                <w:rFonts w:ascii="Georgia" w:eastAsia="Georgia" w:hAnsi="Georgia" w:cs="Georgia"/>
                <w:sz w:val="16"/>
                <w:szCs w:val="16"/>
              </w:rPr>
              <w:t>]M post-money valuation (including conversion of all convertible securities and an unallocated option pool, exclusive of granted or promised shares, equal to [</w:t>
            </w:r>
            <w:r>
              <w:rPr>
                <w:rFonts w:ascii="Georgia" w:eastAsia="Georgia" w:hAnsi="Georgia" w:cs="Georgia"/>
                <w:sz w:val="16"/>
                <w:szCs w:val="16"/>
                <w:highlight w:val="yellow"/>
              </w:rPr>
              <w:t>__</w:t>
            </w:r>
            <w:r>
              <w:rPr>
                <w:rFonts w:ascii="Georgia" w:eastAsia="Georgia" w:hAnsi="Georgia" w:cs="Georgia"/>
                <w:sz w:val="16"/>
                <w:szCs w:val="16"/>
              </w:rPr>
              <w:t>] % of the post-money fully diluted capitalization), such that post-closing Paradigm will own [</w:t>
            </w:r>
            <w:r>
              <w:rPr>
                <w:rFonts w:ascii="Georgia" w:eastAsia="Georgia" w:hAnsi="Georgia" w:cs="Georgia"/>
                <w:sz w:val="16"/>
                <w:szCs w:val="16"/>
                <w:highlight w:val="yellow"/>
              </w:rPr>
              <w:t>__</w:t>
            </w:r>
            <w:r>
              <w:rPr>
                <w:rFonts w:ascii="Georgia" w:eastAsia="Georgia" w:hAnsi="Georgia" w:cs="Georgia"/>
                <w:sz w:val="16"/>
                <w:szCs w:val="16"/>
              </w:rPr>
              <w:t>] % of the fully diluted capitalization of [</w:t>
            </w:r>
            <w:r>
              <w:rPr>
                <w:rFonts w:ascii="Georgia" w:eastAsia="Georgia" w:hAnsi="Georgia" w:cs="Georgia"/>
                <w:sz w:val="16"/>
                <w:szCs w:val="16"/>
                <w:highlight w:val="yellow"/>
              </w:rPr>
              <w:t>COMPANY</w:t>
            </w:r>
            <w:r>
              <w:rPr>
                <w:rFonts w:ascii="Georgia" w:eastAsia="Georgia" w:hAnsi="Georgia" w:cs="Georgia"/>
                <w:sz w:val="16"/>
                <w:szCs w:val="16"/>
              </w:rPr>
              <w:t>] (the “</w:t>
            </w:r>
            <w:r>
              <w:rPr>
                <w:rFonts w:ascii="Georgia" w:eastAsia="Georgia" w:hAnsi="Georgia" w:cs="Georgia"/>
                <w:b/>
                <w:sz w:val="16"/>
                <w:szCs w:val="16"/>
              </w:rPr>
              <w:t>Company</w:t>
            </w:r>
            <w:r>
              <w:rPr>
                <w:rFonts w:ascii="Georgia" w:eastAsia="Georgia" w:hAnsi="Georgia" w:cs="Georgia"/>
                <w:sz w:val="16"/>
                <w:szCs w:val="16"/>
              </w:rPr>
              <w:t>”). [</w:t>
            </w:r>
            <w:r>
              <w:rPr>
                <w:rFonts w:ascii="Georgia" w:eastAsia="Georgia" w:hAnsi="Georgia" w:cs="Georgia"/>
                <w:sz w:val="16"/>
                <w:szCs w:val="16"/>
                <w:highlight w:val="yellow"/>
              </w:rPr>
              <w:t>Other investors acceptable to [Paradigm] [the Company] may invest additional amounts, which shall not affect the post-money valuation</w:t>
            </w:r>
            <w:r>
              <w:rPr>
                <w:rFonts w:ascii="Georgia" w:eastAsia="Georgia" w:hAnsi="Georgia" w:cs="Georgia"/>
                <w:sz w:val="16"/>
                <w:szCs w:val="16"/>
              </w:rPr>
              <w:t>].</w:t>
            </w:r>
          </w:p>
          <w:p w14:paraId="0A4FBCD2" w14:textId="77777777" w:rsidR="00656538" w:rsidRDefault="00656538">
            <w:pPr>
              <w:spacing w:after="0" w:line="240" w:lineRule="auto"/>
              <w:ind w:left="186"/>
              <w:rPr>
                <w:rFonts w:ascii="Georgia" w:eastAsia="Georgia" w:hAnsi="Georgia" w:cs="Georgia"/>
                <w:sz w:val="16"/>
                <w:szCs w:val="16"/>
              </w:rPr>
            </w:pPr>
          </w:p>
        </w:tc>
      </w:tr>
      <w:tr w:rsidR="00656538" w14:paraId="7FA7E8AC" w14:textId="77777777">
        <w:trPr>
          <w:trHeight w:val="837"/>
          <w:jc w:val="center"/>
        </w:trPr>
        <w:tc>
          <w:tcPr>
            <w:tcW w:w="1440" w:type="dxa"/>
            <w:tcBorders>
              <w:top w:val="nil"/>
              <w:left w:val="nil"/>
              <w:bottom w:val="nil"/>
              <w:right w:val="nil"/>
            </w:tcBorders>
          </w:tcPr>
          <w:p w14:paraId="41915C4D"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Securities:</w:t>
            </w:r>
          </w:p>
        </w:tc>
        <w:tc>
          <w:tcPr>
            <w:tcW w:w="8815" w:type="dxa"/>
            <w:tcBorders>
              <w:top w:val="nil"/>
              <w:left w:val="nil"/>
              <w:bottom w:val="nil"/>
              <w:right w:val="nil"/>
            </w:tcBorders>
          </w:tcPr>
          <w:p w14:paraId="008EC1A8"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Series [</w:t>
            </w:r>
            <w:r>
              <w:rPr>
                <w:rFonts w:ascii="Georgia" w:eastAsia="Georgia" w:hAnsi="Georgia" w:cs="Georgia"/>
                <w:sz w:val="16"/>
                <w:szCs w:val="16"/>
                <w:highlight w:val="yellow"/>
              </w:rPr>
              <w:t>__</w:t>
            </w:r>
            <w:r>
              <w:rPr>
                <w:rFonts w:ascii="Georgia" w:eastAsia="Georgia" w:hAnsi="Georgia" w:cs="Georgia"/>
                <w:sz w:val="16"/>
                <w:szCs w:val="16"/>
              </w:rPr>
              <w:t>] Preferred Stock (together with other series of Preferred Stock, the “</w:t>
            </w:r>
            <w:r>
              <w:rPr>
                <w:rFonts w:ascii="Georgia" w:eastAsia="Georgia" w:hAnsi="Georgia" w:cs="Georgia"/>
                <w:b/>
                <w:sz w:val="16"/>
                <w:szCs w:val="16"/>
              </w:rPr>
              <w:t>Preferred Stock</w:t>
            </w:r>
            <w:r>
              <w:rPr>
                <w:rFonts w:ascii="Georgia" w:eastAsia="Georgia" w:hAnsi="Georgia" w:cs="Georgia"/>
                <w:sz w:val="16"/>
                <w:szCs w:val="16"/>
              </w:rPr>
              <w:t xml:space="preserve">”) with standard non-cumulative dividends in preference of Common Stock, 1x non-participating liquidation preference and broad-based weighted average antidilution protection (subject to limited exclusions), that is convertible to Common Stock upon the earlier of (i) the election of Preferred Majority (as defined below) or (ii) the consummation of an underwritten public offering with net proceeds greater than $100M. </w:t>
            </w:r>
          </w:p>
        </w:tc>
      </w:tr>
      <w:tr w:rsidR="00656538" w14:paraId="47718E0A" w14:textId="77777777">
        <w:trPr>
          <w:trHeight w:val="324"/>
          <w:jc w:val="center"/>
        </w:trPr>
        <w:tc>
          <w:tcPr>
            <w:tcW w:w="1440" w:type="dxa"/>
            <w:tcBorders>
              <w:top w:val="nil"/>
              <w:left w:val="nil"/>
              <w:bottom w:val="nil"/>
              <w:right w:val="nil"/>
            </w:tcBorders>
          </w:tcPr>
          <w:p w14:paraId="679619DA" w14:textId="77777777" w:rsidR="00656538" w:rsidRDefault="00656538">
            <w:pPr>
              <w:spacing w:after="0" w:line="240" w:lineRule="auto"/>
              <w:ind w:left="0"/>
              <w:jc w:val="left"/>
              <w:rPr>
                <w:rFonts w:ascii="Georgia" w:eastAsia="Georgia" w:hAnsi="Georgia" w:cs="Georgia"/>
                <w:b/>
                <w:sz w:val="16"/>
                <w:szCs w:val="16"/>
              </w:rPr>
            </w:pPr>
          </w:p>
          <w:p w14:paraId="046A9FE2"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Board and </w:t>
            </w:r>
          </w:p>
          <w:p w14:paraId="098452DC"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Voting Rights: </w:t>
            </w:r>
          </w:p>
        </w:tc>
        <w:tc>
          <w:tcPr>
            <w:tcW w:w="8815" w:type="dxa"/>
            <w:tcBorders>
              <w:top w:val="nil"/>
              <w:left w:val="nil"/>
              <w:bottom w:val="nil"/>
              <w:right w:val="nil"/>
            </w:tcBorders>
          </w:tcPr>
          <w:p w14:paraId="346B666A" w14:textId="77777777" w:rsidR="00656538" w:rsidRDefault="00656538">
            <w:pPr>
              <w:spacing w:after="0" w:line="240" w:lineRule="auto"/>
              <w:ind w:left="186"/>
              <w:rPr>
                <w:rFonts w:ascii="Georgia" w:eastAsia="Georgia" w:hAnsi="Georgia" w:cs="Georgia"/>
                <w:sz w:val="16"/>
                <w:szCs w:val="16"/>
              </w:rPr>
            </w:pPr>
          </w:p>
          <w:p w14:paraId="1744B598"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w:t>
            </w:r>
            <w:r>
              <w:rPr>
                <w:rFonts w:ascii="Georgia" w:eastAsia="Georgia" w:hAnsi="Georgia" w:cs="Georgia"/>
                <w:sz w:val="16"/>
                <w:szCs w:val="16"/>
                <w:highlight w:val="yellow"/>
              </w:rPr>
              <w:t>One director to be elected by the Series [__] Preferred Stock and designated by Paradigm.] [In addition, Company shall invite a representative of Paradigm to attend all meetings of the Board in a nonvoting observer capacity and, if Paradigm has not designated its director, the Company shall provide such representative copies of all notices, minutes, consents, and other materials provided to its directors;</w:t>
            </w:r>
            <w:r>
              <w:rPr>
                <w:rFonts w:ascii="Georgia" w:eastAsia="Georgia" w:hAnsi="Georgia" w:cs="Georgia"/>
                <w:sz w:val="16"/>
                <w:szCs w:val="16"/>
              </w:rPr>
              <w:t>] Preferred Stock voting thresholds to be set such that Paradigm’s consent is required (the “</w:t>
            </w:r>
            <w:r>
              <w:rPr>
                <w:rFonts w:ascii="Georgia" w:eastAsia="Georgia" w:hAnsi="Georgia" w:cs="Georgia"/>
                <w:b/>
                <w:sz w:val="16"/>
                <w:szCs w:val="16"/>
              </w:rPr>
              <w:t>Preferred Majority</w:t>
            </w:r>
            <w:r>
              <w:rPr>
                <w:rFonts w:ascii="Georgia" w:eastAsia="Georgia" w:hAnsi="Georgia" w:cs="Georgia"/>
                <w:sz w:val="16"/>
                <w:szCs w:val="16"/>
              </w:rPr>
              <w:t>”)</w:t>
            </w:r>
            <w:r>
              <w:rPr>
                <w:rFonts w:ascii="Georgia" w:eastAsia="Georgia" w:hAnsi="Georgia" w:cs="Georgia"/>
                <w:color w:val="000000"/>
                <w:sz w:val="16"/>
                <w:szCs w:val="16"/>
              </w:rPr>
              <w:t>.</w:t>
            </w:r>
          </w:p>
          <w:p w14:paraId="41F74DD4" w14:textId="77777777" w:rsidR="00656538" w:rsidRDefault="00656538">
            <w:pPr>
              <w:spacing w:after="0" w:line="240" w:lineRule="auto"/>
              <w:ind w:left="186"/>
              <w:rPr>
                <w:rFonts w:ascii="Georgia" w:eastAsia="Georgia" w:hAnsi="Georgia" w:cs="Georgia"/>
                <w:sz w:val="16"/>
                <w:szCs w:val="16"/>
              </w:rPr>
            </w:pPr>
          </w:p>
        </w:tc>
      </w:tr>
      <w:tr w:rsidR="00656538" w14:paraId="4CBBE24A" w14:textId="77777777">
        <w:trPr>
          <w:trHeight w:val="432"/>
          <w:jc w:val="center"/>
        </w:trPr>
        <w:tc>
          <w:tcPr>
            <w:tcW w:w="1440" w:type="dxa"/>
            <w:tcBorders>
              <w:top w:val="nil"/>
              <w:left w:val="nil"/>
              <w:bottom w:val="nil"/>
              <w:right w:val="nil"/>
            </w:tcBorders>
          </w:tcPr>
          <w:p w14:paraId="6A62EF2B"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 xml:space="preserve">Protective </w:t>
            </w:r>
          </w:p>
          <w:p w14:paraId="707E4725"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Provisions:</w:t>
            </w:r>
          </w:p>
          <w:p w14:paraId="377C4051" w14:textId="77777777" w:rsidR="00656538" w:rsidRDefault="00656538">
            <w:pPr>
              <w:spacing w:line="240" w:lineRule="auto"/>
              <w:ind w:left="0"/>
              <w:jc w:val="left"/>
              <w:rPr>
                <w:rFonts w:ascii="Georgia" w:eastAsia="Georgia" w:hAnsi="Georgia" w:cs="Georgia"/>
                <w:sz w:val="16"/>
                <w:szCs w:val="16"/>
              </w:rPr>
            </w:pPr>
          </w:p>
        </w:tc>
        <w:tc>
          <w:tcPr>
            <w:tcW w:w="8815" w:type="dxa"/>
            <w:tcBorders>
              <w:top w:val="nil"/>
              <w:left w:val="nil"/>
              <w:bottom w:val="nil"/>
              <w:right w:val="nil"/>
            </w:tcBorders>
          </w:tcPr>
          <w:p w14:paraId="34BC303A"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Consent of the Preferred Majority required for standard NVCA protective provisions and certain additional protective provisions, including: (i) incurrence of indebtedness or issuance of debt securities greater than $[</w:t>
            </w:r>
            <w:r>
              <w:rPr>
                <w:rFonts w:ascii="Georgia" w:eastAsia="Georgia" w:hAnsi="Georgia" w:cs="Georgia"/>
                <w:sz w:val="16"/>
                <w:szCs w:val="16"/>
                <w:highlight w:val="yellow"/>
              </w:rPr>
              <w:t>1-10M</w:t>
            </w:r>
            <w:r>
              <w:rPr>
                <w:rFonts w:ascii="Georgia" w:eastAsia="Georgia" w:hAnsi="Georgia" w:cs="Georgia"/>
                <w:sz w:val="16"/>
                <w:szCs w:val="16"/>
              </w:rPr>
              <w:t>]M; (ii) creation of any new equity compensation plan or increase the number of shares available for issuance pursuant to such plans; (iii) any sale, assignment, license, pledge or encumbrance of material technology or intellectual property of the Company, (iv) the creation, reservation, sale, distribution, issuance or other disposition of any tokens (“</w:t>
            </w:r>
            <w:r>
              <w:rPr>
                <w:rFonts w:ascii="Georgia" w:eastAsia="Georgia" w:hAnsi="Georgia" w:cs="Georgia"/>
                <w:b/>
                <w:sz w:val="16"/>
                <w:szCs w:val="16"/>
              </w:rPr>
              <w:t>Tokens</w:t>
            </w:r>
            <w:r>
              <w:rPr>
                <w:rFonts w:ascii="Georgia" w:eastAsia="Georgia" w:hAnsi="Georgia" w:cs="Georgia"/>
                <w:sz w:val="16"/>
                <w:szCs w:val="16"/>
              </w:rPr>
              <w:t>”) and (v) any interested or related party transactions other than transactions entered into in the ordinary course of business on an arms-length basis and benefits made available to all employees.</w:t>
            </w:r>
          </w:p>
          <w:p w14:paraId="329301E1" w14:textId="77777777" w:rsidR="00656538" w:rsidRDefault="00656538">
            <w:pPr>
              <w:spacing w:line="240" w:lineRule="auto"/>
              <w:ind w:left="186"/>
              <w:rPr>
                <w:rFonts w:ascii="Georgia" w:eastAsia="Georgia" w:hAnsi="Georgia" w:cs="Georgia"/>
                <w:sz w:val="16"/>
                <w:szCs w:val="16"/>
              </w:rPr>
            </w:pPr>
          </w:p>
        </w:tc>
      </w:tr>
      <w:tr w:rsidR="00656538" w14:paraId="2035A903" w14:textId="77777777">
        <w:trPr>
          <w:trHeight w:val="1071"/>
          <w:jc w:val="center"/>
        </w:trPr>
        <w:tc>
          <w:tcPr>
            <w:tcW w:w="1440" w:type="dxa"/>
            <w:tcBorders>
              <w:top w:val="nil"/>
              <w:left w:val="nil"/>
              <w:bottom w:val="nil"/>
              <w:right w:val="nil"/>
            </w:tcBorders>
          </w:tcPr>
          <w:p w14:paraId="5EE50AA5"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Other Rights: </w:t>
            </w:r>
          </w:p>
        </w:tc>
        <w:tc>
          <w:tcPr>
            <w:tcW w:w="8815" w:type="dxa"/>
            <w:tcBorders>
              <w:top w:val="nil"/>
              <w:left w:val="nil"/>
              <w:bottom w:val="nil"/>
              <w:right w:val="nil"/>
            </w:tcBorders>
          </w:tcPr>
          <w:p w14:paraId="13D64D03"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Customary NVCA investor rights, including information rights and pro rata rights (including overallotment) for Major Investors (which shall only include Paradigm), registration rights for all Investors, drag along provision, and all 1% Common stockholder’s (including founder(s)) equity and Tokens will be subject to ROFR and co-sale rights (in each case, with exclusions for transfers to affiliates and for estate planning or the aggregate sale or transfer of up to 2% of the stock initially subject to these provisions). Bylaws to provide for transfer restrictions on Common Stock, other than transfers to affiliates. Paradigm’s shares shall not be subject to any transfer restrictions. Customary closing conditions, including a customary legal opinion including with respect to Company’s capitalization, valid issuance of Preferred Stock and enforceability.</w:t>
            </w:r>
          </w:p>
          <w:p w14:paraId="1F55233D" w14:textId="77777777" w:rsidR="00656538" w:rsidRDefault="00656538">
            <w:pPr>
              <w:spacing w:line="240" w:lineRule="auto"/>
              <w:ind w:left="186"/>
              <w:rPr>
                <w:rFonts w:ascii="Georgia" w:eastAsia="Georgia" w:hAnsi="Georgia" w:cs="Georgia"/>
                <w:sz w:val="16"/>
                <w:szCs w:val="16"/>
              </w:rPr>
            </w:pPr>
          </w:p>
        </w:tc>
      </w:tr>
      <w:tr w:rsidR="00656538" w14:paraId="037978AA" w14:textId="77777777">
        <w:trPr>
          <w:trHeight w:val="846"/>
          <w:jc w:val="center"/>
        </w:trPr>
        <w:tc>
          <w:tcPr>
            <w:tcW w:w="1440" w:type="dxa"/>
            <w:tcBorders>
              <w:top w:val="nil"/>
              <w:left w:val="nil"/>
              <w:bottom w:val="nil"/>
              <w:right w:val="nil"/>
            </w:tcBorders>
          </w:tcPr>
          <w:p w14:paraId="45A1A75D"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Token Rights: </w:t>
            </w:r>
          </w:p>
        </w:tc>
        <w:tc>
          <w:tcPr>
            <w:tcW w:w="8815" w:type="dxa"/>
            <w:tcBorders>
              <w:top w:val="nil"/>
              <w:left w:val="nil"/>
              <w:bottom w:val="nil"/>
              <w:right w:val="nil"/>
            </w:tcBorders>
          </w:tcPr>
          <w:p w14:paraId="659E7B5E"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For any Tokens (other than non-fungible tokens or other similar assets developed in the ordinary course of business) useable or accessible in or through a blockchain-based game or application created by the Company, founder or affiliates, Paradigm will receive its pro rata share (on a fully-diluted basis, as of network launch) of the total number of Tokens (the “</w:t>
            </w:r>
            <w:r>
              <w:rPr>
                <w:rFonts w:ascii="Georgia" w:eastAsia="Georgia" w:hAnsi="Georgia" w:cs="Georgia"/>
                <w:b/>
                <w:sz w:val="16"/>
                <w:szCs w:val="16"/>
              </w:rPr>
              <w:t>Launch Supply</w:t>
            </w:r>
            <w:r>
              <w:rPr>
                <w:rFonts w:ascii="Georgia" w:eastAsia="Georgia" w:hAnsi="Georgia" w:cs="Georgia"/>
                <w:sz w:val="16"/>
                <w:szCs w:val="16"/>
              </w:rPr>
              <w:t>”) allocated to or reserved for the Company, the Company’s officers, directors, employees, consultants, stockholders and any convertible instrument holders (collectively, the “</w:t>
            </w:r>
            <w:r>
              <w:rPr>
                <w:rFonts w:ascii="Georgia" w:eastAsia="Georgia" w:hAnsi="Georgia" w:cs="Georgia"/>
                <w:b/>
                <w:sz w:val="16"/>
                <w:szCs w:val="16"/>
              </w:rPr>
              <w:t>Insiders</w:t>
            </w:r>
            <w:r>
              <w:rPr>
                <w:rFonts w:ascii="Georgia" w:eastAsia="Georgia" w:hAnsi="Georgia" w:cs="Georgia"/>
                <w:sz w:val="16"/>
                <w:szCs w:val="16"/>
              </w:rPr>
              <w:t>”). The Launch Supply shall be at least [</w:t>
            </w:r>
            <w:r>
              <w:rPr>
                <w:rFonts w:ascii="Georgia" w:eastAsia="Georgia" w:hAnsi="Georgia" w:cs="Georgia"/>
                <w:sz w:val="16"/>
                <w:szCs w:val="16"/>
                <w:highlight w:val="yellow"/>
              </w:rPr>
              <w:t>Token Floor usually 50%</w:t>
            </w:r>
            <w:r>
              <w:rPr>
                <w:rFonts w:ascii="Georgia" w:eastAsia="Georgia" w:hAnsi="Georgia" w:cs="Georgia"/>
                <w:sz w:val="16"/>
                <w:szCs w:val="16"/>
              </w:rPr>
              <w:t xml:space="preserve">]% of the total number of Tokens issuable for such network. If an inflationary event (the creation of additional Tokens following network launch) occurs, Paradigm will receive its pro rata share (on a fully-diluted basis, as of the date of such inflationary event) of the total number of inflationary tokens allocated to or reserved for Insiders in connection with such inflationary event. Subject to customary exceptions, the Company and the founders shall agree that they will not utilize or exploit protocols related to the Company’s business for commercial purposes other than directly through the Company. Any lockup schedule on such Tokens shall be no more restrictive than the schedule applicable to Tokens issued to the Company or Insiders. </w:t>
            </w:r>
          </w:p>
          <w:p w14:paraId="0BEFA429" w14:textId="77777777" w:rsidR="00656538" w:rsidRDefault="00656538">
            <w:pPr>
              <w:spacing w:line="240" w:lineRule="auto"/>
              <w:ind w:left="186"/>
              <w:rPr>
                <w:rFonts w:ascii="Georgia" w:eastAsia="Georgia" w:hAnsi="Georgia" w:cs="Georgia"/>
                <w:sz w:val="16"/>
                <w:szCs w:val="16"/>
              </w:rPr>
            </w:pPr>
          </w:p>
        </w:tc>
      </w:tr>
      <w:tr w:rsidR="00656538" w14:paraId="3379F9C6" w14:textId="77777777">
        <w:trPr>
          <w:trHeight w:val="347"/>
          <w:jc w:val="center"/>
        </w:trPr>
        <w:tc>
          <w:tcPr>
            <w:tcW w:w="1440" w:type="dxa"/>
            <w:tcBorders>
              <w:top w:val="nil"/>
              <w:left w:val="nil"/>
              <w:bottom w:val="nil"/>
              <w:right w:val="nil"/>
            </w:tcBorders>
          </w:tcPr>
          <w:p w14:paraId="6616B4F9"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Vesting: </w:t>
            </w:r>
          </w:p>
        </w:tc>
        <w:tc>
          <w:tcPr>
            <w:tcW w:w="8815" w:type="dxa"/>
            <w:tcBorders>
              <w:top w:val="nil"/>
              <w:left w:val="nil"/>
              <w:bottom w:val="nil"/>
              <w:right w:val="nil"/>
            </w:tcBorders>
          </w:tcPr>
          <w:p w14:paraId="10299C89"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Founder vesting subject to due diligence. Standard 4-year monthly vesting with one year cliff for all employees, beginning on first day of employment.</w:t>
            </w:r>
          </w:p>
          <w:p w14:paraId="2766F2B6" w14:textId="77777777" w:rsidR="00656538" w:rsidRDefault="00656538">
            <w:pPr>
              <w:spacing w:line="240" w:lineRule="auto"/>
              <w:ind w:left="186"/>
              <w:rPr>
                <w:rFonts w:ascii="Georgia" w:eastAsia="Georgia" w:hAnsi="Georgia" w:cs="Georgia"/>
                <w:sz w:val="16"/>
                <w:szCs w:val="16"/>
              </w:rPr>
            </w:pPr>
          </w:p>
        </w:tc>
      </w:tr>
      <w:tr w:rsidR="00656538" w14:paraId="5A624B03" w14:textId="77777777">
        <w:trPr>
          <w:trHeight w:val="347"/>
          <w:jc w:val="center"/>
        </w:trPr>
        <w:tc>
          <w:tcPr>
            <w:tcW w:w="1440" w:type="dxa"/>
            <w:tcBorders>
              <w:top w:val="nil"/>
              <w:left w:val="nil"/>
              <w:bottom w:val="nil"/>
              <w:right w:val="nil"/>
            </w:tcBorders>
          </w:tcPr>
          <w:p w14:paraId="696FE99C"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Documentation; Legal Fees: </w:t>
            </w:r>
          </w:p>
        </w:tc>
        <w:tc>
          <w:tcPr>
            <w:tcW w:w="8815" w:type="dxa"/>
            <w:tcBorders>
              <w:top w:val="nil"/>
              <w:left w:val="nil"/>
              <w:bottom w:val="nil"/>
              <w:right w:val="nil"/>
            </w:tcBorders>
          </w:tcPr>
          <w:p w14:paraId="0561E6DC"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Company counsel to draft documentation based on 2024 NVCA forms. Company will pay the reasonable legal fees incurred by Paradigm’s counsel up to $75,000.</w:t>
            </w:r>
          </w:p>
          <w:p w14:paraId="17E22997" w14:textId="77777777" w:rsidR="00656538" w:rsidRDefault="00656538">
            <w:pPr>
              <w:spacing w:line="240" w:lineRule="auto"/>
              <w:ind w:left="186"/>
              <w:rPr>
                <w:rFonts w:ascii="Georgia" w:eastAsia="Georgia" w:hAnsi="Georgia" w:cs="Georgia"/>
                <w:sz w:val="16"/>
                <w:szCs w:val="16"/>
              </w:rPr>
            </w:pPr>
          </w:p>
        </w:tc>
      </w:tr>
      <w:tr w:rsidR="00656538" w14:paraId="1E4BB21E" w14:textId="77777777">
        <w:trPr>
          <w:trHeight w:val="347"/>
          <w:jc w:val="center"/>
        </w:trPr>
        <w:tc>
          <w:tcPr>
            <w:tcW w:w="1440" w:type="dxa"/>
            <w:tcBorders>
              <w:top w:val="nil"/>
              <w:left w:val="nil"/>
              <w:bottom w:val="nil"/>
              <w:right w:val="nil"/>
            </w:tcBorders>
          </w:tcPr>
          <w:p w14:paraId="07E4A509"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No-Shop; Confidentiality:</w:t>
            </w:r>
          </w:p>
        </w:tc>
        <w:tc>
          <w:tcPr>
            <w:tcW w:w="8815" w:type="dxa"/>
            <w:tcBorders>
              <w:top w:val="nil"/>
              <w:left w:val="nil"/>
              <w:bottom w:val="nil"/>
              <w:right w:val="nil"/>
            </w:tcBorders>
          </w:tcPr>
          <w:p w14:paraId="699BEFCE" w14:textId="77777777" w:rsidR="00656538" w:rsidRDefault="00000000">
            <w:pPr>
              <w:spacing w:line="240" w:lineRule="auto"/>
              <w:ind w:left="186"/>
              <w:rPr>
                <w:rFonts w:ascii="Georgia" w:eastAsia="Georgia" w:hAnsi="Georgia" w:cs="Georgia"/>
                <w:sz w:val="16"/>
                <w:szCs w:val="16"/>
              </w:rPr>
            </w:pPr>
            <w:r>
              <w:rPr>
                <w:rFonts w:ascii="Georgia" w:eastAsia="Georgia" w:hAnsi="Georgia" w:cs="Georgia"/>
                <w:sz w:val="16"/>
                <w:szCs w:val="16"/>
              </w:rPr>
              <w:t>The Company and the founders agree that they will not, for a period of 45 days from the date these terms are accepted, take any action to solicit, initiate, encourage or assist the submission of any proposal, negotiation or offer from any person or entity other than Paradigm relating to the sale or issuance of any of the capital stock of the Company. The Company will not disclose the terms of this Term Sheet to any person other than officers, members of the Board and the Company’s accountants and attorneys and other potential investors acceptable to Paradigm, without the written consent of Paradigm.</w:t>
            </w:r>
          </w:p>
        </w:tc>
      </w:tr>
    </w:tbl>
    <w:p w14:paraId="58FCDB2D" w14:textId="77777777" w:rsidR="00656538" w:rsidRDefault="00656538">
      <w:pPr>
        <w:spacing w:before="280" w:after="0" w:line="240" w:lineRule="auto"/>
        <w:ind w:left="0"/>
        <w:rPr>
          <w:rFonts w:ascii="Georgia" w:eastAsia="Georgia" w:hAnsi="Georgia" w:cs="Georgia"/>
          <w:sz w:val="16"/>
          <w:szCs w:val="16"/>
        </w:rPr>
      </w:pPr>
    </w:p>
    <w:p w14:paraId="7771229D"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sz w:val="16"/>
          <w:szCs w:val="16"/>
        </w:rPr>
        <w:t xml:space="preserve">Except for the No-Shop; Confidentiality provision set forth above, this term sheet is non-binding and is intended solely to be a summary of the terms that are currently proposed by the parties. Please indicate your acceptance of this term sheet by signing below and returning an executed copy.  </w:t>
      </w:r>
    </w:p>
    <w:p w14:paraId="4A49D5FF" w14:textId="77777777" w:rsidR="00656538" w:rsidRDefault="00656538">
      <w:pPr>
        <w:spacing w:after="0" w:line="240" w:lineRule="auto"/>
        <w:ind w:left="0"/>
        <w:jc w:val="left"/>
        <w:rPr>
          <w:rFonts w:ascii="Georgia" w:eastAsia="Georgia" w:hAnsi="Georgia" w:cs="Georgia"/>
          <w:b/>
          <w:sz w:val="16"/>
          <w:szCs w:val="16"/>
        </w:rPr>
      </w:pPr>
    </w:p>
    <w:p w14:paraId="0DA3864F"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 xml:space="preserve">Acknowledged and agreed: </w:t>
      </w:r>
    </w:p>
    <w:tbl>
      <w:tblPr>
        <w:tblStyle w:val="a4"/>
        <w:tblW w:w="10850"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5425"/>
        <w:gridCol w:w="5425"/>
      </w:tblGrid>
      <w:tr w:rsidR="00656538" w14:paraId="25596066" w14:textId="77777777">
        <w:trPr>
          <w:trHeight w:val="540"/>
        </w:trPr>
        <w:tc>
          <w:tcPr>
            <w:tcW w:w="5425" w:type="dxa"/>
          </w:tcPr>
          <w:p w14:paraId="5564430A" w14:textId="77777777" w:rsidR="00656538" w:rsidRDefault="00656538">
            <w:pPr>
              <w:spacing w:line="240" w:lineRule="auto"/>
              <w:ind w:left="0"/>
              <w:jc w:val="left"/>
              <w:rPr>
                <w:rFonts w:ascii="Georgia" w:eastAsia="Georgia" w:hAnsi="Georgia" w:cs="Georgia"/>
                <w:b/>
                <w:sz w:val="16"/>
                <w:szCs w:val="16"/>
              </w:rPr>
            </w:pPr>
          </w:p>
          <w:p w14:paraId="026CB545"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PARADIGM</w:t>
            </w:r>
          </w:p>
        </w:tc>
        <w:tc>
          <w:tcPr>
            <w:tcW w:w="5425" w:type="dxa"/>
          </w:tcPr>
          <w:p w14:paraId="1F72DB5B" w14:textId="77777777" w:rsidR="00656538" w:rsidRDefault="00656538">
            <w:pPr>
              <w:spacing w:line="240" w:lineRule="auto"/>
              <w:ind w:left="0"/>
              <w:rPr>
                <w:rFonts w:ascii="Georgia" w:eastAsia="Georgia" w:hAnsi="Georgia" w:cs="Georgia"/>
                <w:b/>
                <w:sz w:val="16"/>
                <w:szCs w:val="16"/>
              </w:rPr>
            </w:pPr>
          </w:p>
          <w:p w14:paraId="1455E9E3" w14:textId="77777777" w:rsidR="00656538" w:rsidRDefault="00000000">
            <w:pPr>
              <w:spacing w:line="240" w:lineRule="auto"/>
              <w:ind w:left="0"/>
              <w:rPr>
                <w:rFonts w:ascii="Georgia" w:eastAsia="Georgia" w:hAnsi="Georgia" w:cs="Georgia"/>
                <w:b/>
                <w:sz w:val="16"/>
                <w:szCs w:val="16"/>
              </w:rPr>
            </w:pPr>
            <w:r>
              <w:rPr>
                <w:rFonts w:ascii="Georgia" w:eastAsia="Georgia" w:hAnsi="Georgia" w:cs="Georgia"/>
                <w:b/>
                <w:sz w:val="16"/>
                <w:szCs w:val="16"/>
              </w:rPr>
              <w:t>[COMPANY]</w:t>
            </w:r>
          </w:p>
          <w:p w14:paraId="3EFA59F2" w14:textId="77777777" w:rsidR="00656538" w:rsidRDefault="00656538">
            <w:pPr>
              <w:spacing w:line="240" w:lineRule="auto"/>
              <w:ind w:left="0"/>
              <w:jc w:val="center"/>
              <w:rPr>
                <w:rFonts w:ascii="Georgia" w:eastAsia="Georgia" w:hAnsi="Georgia" w:cs="Georgia"/>
                <w:b/>
                <w:sz w:val="16"/>
                <w:szCs w:val="16"/>
              </w:rPr>
            </w:pPr>
          </w:p>
        </w:tc>
      </w:tr>
      <w:tr w:rsidR="00656538" w14:paraId="6B9D7FB1" w14:textId="77777777">
        <w:trPr>
          <w:trHeight w:val="211"/>
        </w:trPr>
        <w:tc>
          <w:tcPr>
            <w:tcW w:w="5425" w:type="dxa"/>
          </w:tcPr>
          <w:p w14:paraId="70D3E778" w14:textId="77777777" w:rsidR="00656538" w:rsidRDefault="00000000">
            <w:pPr>
              <w:tabs>
                <w:tab w:val="left" w:pos="2857"/>
              </w:tabs>
              <w:spacing w:line="276" w:lineRule="auto"/>
              <w:ind w:left="0"/>
              <w:jc w:val="left"/>
              <w:rPr>
                <w:rFonts w:ascii="Georgia" w:eastAsia="Georgia" w:hAnsi="Georgia" w:cs="Georgia"/>
                <w:b/>
                <w:sz w:val="16"/>
                <w:szCs w:val="16"/>
              </w:rPr>
            </w:pPr>
            <w:r>
              <w:rPr>
                <w:rFonts w:ascii="Georgia" w:eastAsia="Georgia" w:hAnsi="Georgia" w:cs="Georgia"/>
                <w:sz w:val="16"/>
                <w:szCs w:val="16"/>
              </w:rPr>
              <w:lastRenderedPageBreak/>
              <w:t xml:space="preserve">By:  </w:t>
            </w:r>
            <w:r>
              <w:rPr>
                <w:rFonts w:ascii="Georgia" w:eastAsia="Georgia" w:hAnsi="Georgia" w:cs="Georgia"/>
                <w:sz w:val="16"/>
                <w:szCs w:val="16"/>
                <w:u w:val="single"/>
              </w:rPr>
              <w:tab/>
              <w:tab/>
            </w:r>
          </w:p>
        </w:tc>
        <w:tc>
          <w:tcPr>
            <w:tcW w:w="5425" w:type="dxa"/>
          </w:tcPr>
          <w:p w14:paraId="0C63CC33" w14:textId="77777777" w:rsidR="00656538" w:rsidRDefault="00000000">
            <w:pPr>
              <w:tabs>
                <w:tab w:val="left" w:pos="2848"/>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By:  </w:t>
            </w:r>
            <w:r>
              <w:rPr>
                <w:rFonts w:ascii="Georgia" w:eastAsia="Georgia" w:hAnsi="Georgia" w:cs="Georgia"/>
                <w:sz w:val="16"/>
                <w:szCs w:val="16"/>
                <w:u w:val="single"/>
              </w:rPr>
              <w:tab/>
            </w:r>
          </w:p>
        </w:tc>
      </w:tr>
      <w:tr w:rsidR="00656538" w14:paraId="1E352741" w14:textId="77777777">
        <w:trPr>
          <w:trHeight w:val="199"/>
        </w:trPr>
        <w:tc>
          <w:tcPr>
            <w:tcW w:w="5425" w:type="dxa"/>
          </w:tcPr>
          <w:p w14:paraId="143887DD" w14:textId="77777777" w:rsidR="00656538" w:rsidRDefault="00000000">
            <w:pPr>
              <w:tabs>
                <w:tab w:val="left" w:pos="2857"/>
              </w:tabs>
              <w:spacing w:after="0" w:line="276" w:lineRule="auto"/>
              <w:ind w:left="0"/>
              <w:jc w:val="left"/>
              <w:rPr>
                <w:rFonts w:ascii="Georgia" w:eastAsia="Georgia" w:hAnsi="Georgia" w:cs="Georgia"/>
                <w:color w:val="000000"/>
                <w:sz w:val="16"/>
                <w:szCs w:val="16"/>
              </w:rPr>
            </w:pPr>
            <w:r>
              <w:rPr>
                <w:rFonts w:ascii="Georgia" w:eastAsia="Georgia" w:hAnsi="Georgia" w:cs="Georgia"/>
                <w:sz w:val="16"/>
                <w:szCs w:val="16"/>
              </w:rPr>
              <w:t xml:space="preserve">Name:  </w:t>
            </w:r>
            <w:r>
              <w:rPr>
                <w:rFonts w:ascii="Georgia" w:eastAsia="Georgia" w:hAnsi="Georgia" w:cs="Georgia"/>
                <w:sz w:val="16"/>
                <w:szCs w:val="16"/>
                <w:u w:val="single"/>
              </w:rPr>
              <w:tab/>
            </w:r>
          </w:p>
        </w:tc>
        <w:tc>
          <w:tcPr>
            <w:tcW w:w="5425" w:type="dxa"/>
          </w:tcPr>
          <w:p w14:paraId="57C0E59A" w14:textId="77777777" w:rsidR="00656538" w:rsidRDefault="00000000">
            <w:pPr>
              <w:tabs>
                <w:tab w:val="left" w:pos="2848"/>
              </w:tabs>
              <w:spacing w:after="0" w:line="276" w:lineRule="auto"/>
              <w:ind w:left="0"/>
              <w:jc w:val="left"/>
              <w:rPr>
                <w:rFonts w:ascii="Georgia" w:eastAsia="Georgia" w:hAnsi="Georgia" w:cs="Georgia"/>
                <w:color w:val="000000"/>
                <w:sz w:val="16"/>
                <w:szCs w:val="16"/>
              </w:rPr>
            </w:pPr>
            <w:r>
              <w:rPr>
                <w:rFonts w:ascii="Georgia" w:eastAsia="Georgia" w:hAnsi="Georgia" w:cs="Georgia"/>
                <w:sz w:val="16"/>
                <w:szCs w:val="16"/>
              </w:rPr>
              <w:t xml:space="preserve">Name: </w:t>
            </w:r>
            <w:r>
              <w:rPr>
                <w:rFonts w:ascii="Georgia" w:eastAsia="Georgia" w:hAnsi="Georgia" w:cs="Georgia"/>
                <w:sz w:val="16"/>
                <w:szCs w:val="16"/>
                <w:u w:val="single"/>
              </w:rPr>
              <w:tab/>
            </w:r>
          </w:p>
        </w:tc>
      </w:tr>
      <w:tr w:rsidR="00656538" w14:paraId="41E69984" w14:textId="77777777">
        <w:trPr>
          <w:trHeight w:val="60"/>
        </w:trPr>
        <w:tc>
          <w:tcPr>
            <w:tcW w:w="5425" w:type="dxa"/>
          </w:tcPr>
          <w:p w14:paraId="782FA813" w14:textId="77777777" w:rsidR="00656538" w:rsidRDefault="00000000">
            <w:pPr>
              <w:tabs>
                <w:tab w:val="left" w:pos="2857"/>
              </w:tabs>
              <w:spacing w:line="276" w:lineRule="auto"/>
              <w:ind w:left="0"/>
              <w:jc w:val="left"/>
              <w:rPr>
                <w:rFonts w:ascii="Georgia" w:eastAsia="Georgia" w:hAnsi="Georgia" w:cs="Georgia"/>
                <w:sz w:val="16"/>
                <w:szCs w:val="16"/>
              </w:rPr>
            </w:pPr>
            <w:r>
              <w:rPr>
                <w:rFonts w:ascii="Georgia" w:eastAsia="Georgia" w:hAnsi="Georgia" w:cs="Georgia"/>
                <w:sz w:val="16"/>
                <w:szCs w:val="16"/>
              </w:rPr>
              <w:t xml:space="preserve">Title:  </w:t>
            </w:r>
            <w:r>
              <w:rPr>
                <w:rFonts w:ascii="Georgia" w:eastAsia="Georgia" w:hAnsi="Georgia" w:cs="Georgia"/>
                <w:sz w:val="16"/>
                <w:szCs w:val="16"/>
                <w:u w:val="single"/>
              </w:rPr>
              <w:tab/>
            </w:r>
          </w:p>
          <w:p w14:paraId="574FDB56" w14:textId="77777777" w:rsidR="00656538" w:rsidRDefault="00000000">
            <w:pPr>
              <w:tabs>
                <w:tab w:val="left" w:pos="2857"/>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Date:  </w:t>
            </w:r>
            <w:r>
              <w:rPr>
                <w:rFonts w:ascii="Georgia" w:eastAsia="Georgia" w:hAnsi="Georgia" w:cs="Georgia"/>
                <w:sz w:val="16"/>
                <w:szCs w:val="16"/>
                <w:u w:val="single"/>
              </w:rPr>
              <w:tab/>
            </w:r>
          </w:p>
        </w:tc>
        <w:tc>
          <w:tcPr>
            <w:tcW w:w="5425" w:type="dxa"/>
          </w:tcPr>
          <w:p w14:paraId="2D9E4471" w14:textId="77777777" w:rsidR="00656538" w:rsidRDefault="00000000">
            <w:pPr>
              <w:tabs>
                <w:tab w:val="left" w:pos="2857"/>
              </w:tabs>
              <w:spacing w:line="276" w:lineRule="auto"/>
              <w:ind w:left="0"/>
              <w:jc w:val="left"/>
              <w:rPr>
                <w:rFonts w:ascii="Georgia" w:eastAsia="Georgia" w:hAnsi="Georgia" w:cs="Georgia"/>
                <w:sz w:val="16"/>
                <w:szCs w:val="16"/>
              </w:rPr>
            </w:pPr>
            <w:r>
              <w:rPr>
                <w:rFonts w:ascii="Georgia" w:eastAsia="Georgia" w:hAnsi="Georgia" w:cs="Georgia"/>
                <w:sz w:val="16"/>
                <w:szCs w:val="16"/>
              </w:rPr>
              <w:t xml:space="preserve">Title:  </w:t>
            </w:r>
            <w:r>
              <w:rPr>
                <w:rFonts w:ascii="Georgia" w:eastAsia="Georgia" w:hAnsi="Georgia" w:cs="Georgia"/>
                <w:sz w:val="16"/>
                <w:szCs w:val="16"/>
                <w:u w:val="single"/>
              </w:rPr>
              <w:tab/>
            </w:r>
          </w:p>
          <w:p w14:paraId="2BB4607E" w14:textId="77777777" w:rsidR="00656538" w:rsidRDefault="00000000">
            <w:pPr>
              <w:tabs>
                <w:tab w:val="left" w:pos="2848"/>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Date:  </w:t>
            </w:r>
            <w:r>
              <w:rPr>
                <w:rFonts w:ascii="Georgia" w:eastAsia="Georgia" w:hAnsi="Georgia" w:cs="Georgia"/>
                <w:sz w:val="16"/>
                <w:szCs w:val="16"/>
                <w:u w:val="single"/>
              </w:rPr>
              <w:tab/>
            </w:r>
          </w:p>
        </w:tc>
      </w:tr>
    </w:tbl>
    <w:p w14:paraId="5C7D6ABB" w14:textId="77777777" w:rsidR="00656538" w:rsidRDefault="00656538">
      <w:pPr>
        <w:tabs>
          <w:tab w:val="left" w:pos="2660"/>
        </w:tabs>
        <w:ind w:left="0"/>
        <w:rPr>
          <w:rFonts w:ascii="Georgia" w:eastAsia="Georgia" w:hAnsi="Georgia" w:cs="Georgia"/>
          <w:sz w:val="16"/>
          <w:szCs w:val="16"/>
        </w:rPr>
      </w:pPr>
    </w:p>
    <w:sectPr w:rsidR="00656538">
      <w:headerReference w:type="default" r:id="rId8"/>
      <w:footerReference w:type="default" r:id="rId9"/>
      <w:headerReference w:type="first" r:id="rId10"/>
      <w:footerReference w:type="first" r:id="rId11"/>
      <w:pgSz w:w="12240" w:h="15840"/>
      <w:pgMar w:top="720" w:right="720" w:bottom="720" w:left="720" w:header="435" w:footer="5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483B" w14:textId="77777777" w:rsidR="00FA242E" w:rsidRDefault="00FA242E">
      <w:pPr>
        <w:spacing w:after="0" w:line="240" w:lineRule="auto"/>
      </w:pPr>
      <w:r>
        <w:separator/>
      </w:r>
    </w:p>
  </w:endnote>
  <w:endnote w:type="continuationSeparator" w:id="0">
    <w:p w14:paraId="17C3D147" w14:textId="77777777" w:rsidR="00FA242E" w:rsidRDefault="00FA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ED0F8445-3371-4A4E-8B01-36AA4B478AA1}"/>
  </w:font>
  <w:font w:name="Courier New">
    <w:panose1 w:val="02070309020205020404"/>
    <w:charset w:val="00"/>
    <w:family w:val="modern"/>
    <w:pitch w:val="fixed"/>
    <w:sig w:usb0="E0002EFF" w:usb1="C0007843" w:usb2="00000009" w:usb3="00000000" w:csb0="000001FF" w:csb1="00000000"/>
    <w:embedRegular r:id="rId2" w:fontKey="{4FCA7704-1AF1-A24D-BA6F-223774D9B5DE}"/>
  </w:font>
  <w:font w:name="Times New Roman">
    <w:panose1 w:val="02020603050405020304"/>
    <w:charset w:val="00"/>
    <w:family w:val="roman"/>
    <w:pitch w:val="variable"/>
    <w:sig w:usb0="E0002EFF" w:usb1="C000785B" w:usb2="00000009" w:usb3="00000000" w:csb0="000001FF" w:csb1="00000000"/>
    <w:embedRegular r:id="rId3" w:fontKey="{4FE2409B-6ADA-D346-9B71-F31DFF593997}"/>
    <w:embedBold r:id="rId4" w:fontKey="{5A89AADA-9844-7949-B9F6-CABA9E029BCA}"/>
  </w:font>
  <w:font w:name="Georgia">
    <w:panose1 w:val="02040502050405020303"/>
    <w:charset w:val="00"/>
    <w:family w:val="roman"/>
    <w:pitch w:val="variable"/>
    <w:sig w:usb0="00000287" w:usb1="00000000" w:usb2="00000000" w:usb3="00000000" w:csb0="0000009F" w:csb1="00000000"/>
    <w:embedRegular r:id="rId5" w:fontKey="{B236B273-63C8-DD4B-B1AF-76A7035C7DC5}"/>
    <w:embedBold r:id="rId6" w:fontKey="{2E361984-A087-764D-B47D-FDAD2A093359}"/>
    <w:embedItalic r:id="rId7" w:fontKey="{AD5976D7-1B3C-6146-928B-506AFCE2F1D0}"/>
  </w:font>
  <w:font w:name="Calibri">
    <w:panose1 w:val="020F0502020204030204"/>
    <w:charset w:val="00"/>
    <w:family w:val="swiss"/>
    <w:pitch w:val="variable"/>
    <w:sig w:usb0="E4002EFF" w:usb1="C200247B" w:usb2="00000009" w:usb3="00000000" w:csb0="000001FF" w:csb1="00000000"/>
    <w:embedRegular r:id="rId8" w:fontKey="{C9508B7C-736F-144D-90E2-3CD95A9B784A}"/>
  </w:font>
  <w:font w:name="Cambria">
    <w:panose1 w:val="02040503050406030204"/>
    <w:charset w:val="00"/>
    <w:family w:val="roman"/>
    <w:pitch w:val="variable"/>
    <w:sig w:usb0="E00006FF" w:usb1="420024FF" w:usb2="02000000" w:usb3="00000000" w:csb0="0000019F" w:csb1="00000000"/>
    <w:embedRegular r:id="rId9" w:fontKey="{6EEA7739-D992-1B48-B837-C6AFCB1FA8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EDA" w14:textId="77777777" w:rsidR="00656538" w:rsidRDefault="00000000">
    <w:pPr>
      <w:pBdr>
        <w:top w:val="nil"/>
        <w:left w:val="nil"/>
        <w:bottom w:val="nil"/>
        <w:right w:val="nil"/>
        <w:between w:val="nil"/>
      </w:pBdr>
      <w:tabs>
        <w:tab w:val="center" w:pos="4680"/>
        <w:tab w:val="right" w:pos="9360"/>
      </w:tabs>
      <w:spacing w:after="0" w:line="240" w:lineRule="auto"/>
      <w:ind w:hanging="10"/>
      <w:jc w:val="left"/>
      <w:rPr>
        <w:color w:val="000000"/>
        <w:sz w:val="16"/>
        <w:szCs w:val="16"/>
      </w:rPr>
    </w:pPr>
    <w:r>
      <w:rPr>
        <w:noProof/>
        <w:color w:val="000000"/>
        <w:sz w:val="16"/>
        <w:szCs w:val="16"/>
      </w:rPr>
      <w:drawing>
        <wp:inline distT="0" distB="0" distL="0" distR="0" wp14:anchorId="7F0FBB70" wp14:editId="1996AAA1">
          <wp:extent cx="6858000" cy="157480"/>
          <wp:effectExtent l="0" t="0" r="0" b="0"/>
          <wp:docPr id="12025118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157480"/>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8436" w14:textId="77777777" w:rsidR="00656538" w:rsidRDefault="00656538">
    <w:pPr>
      <w:pBdr>
        <w:top w:val="nil"/>
        <w:left w:val="nil"/>
        <w:bottom w:val="nil"/>
        <w:right w:val="nil"/>
        <w:between w:val="nil"/>
      </w:pBdr>
      <w:tabs>
        <w:tab w:val="center" w:pos="4680"/>
        <w:tab w:val="right" w:pos="9360"/>
      </w:tabs>
      <w:spacing w:after="0" w:line="240" w:lineRule="auto"/>
      <w:ind w:hanging="10"/>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E89B0" w14:textId="77777777" w:rsidR="00FA242E" w:rsidRDefault="00FA242E">
      <w:pPr>
        <w:spacing w:after="0" w:line="240" w:lineRule="auto"/>
      </w:pPr>
      <w:r>
        <w:separator/>
      </w:r>
    </w:p>
  </w:footnote>
  <w:footnote w:type="continuationSeparator" w:id="0">
    <w:p w14:paraId="1287431D" w14:textId="77777777" w:rsidR="00FA242E" w:rsidRDefault="00FA2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8107" w14:textId="77777777" w:rsidR="00656538" w:rsidRDefault="00000000">
    <w:pPr>
      <w:pBdr>
        <w:top w:val="nil"/>
        <w:left w:val="nil"/>
        <w:bottom w:val="nil"/>
        <w:right w:val="nil"/>
        <w:between w:val="nil"/>
      </w:pBdr>
      <w:tabs>
        <w:tab w:val="center" w:pos="4680"/>
        <w:tab w:val="right" w:pos="9360"/>
      </w:tabs>
      <w:spacing w:after="0" w:line="240" w:lineRule="auto"/>
      <w:ind w:hanging="10"/>
      <w:rPr>
        <w:color w:val="000000"/>
      </w:rPr>
    </w:pPr>
    <w:r>
      <w:rPr>
        <w:noProof/>
        <w:color w:val="000000"/>
      </w:rPr>
      <w:drawing>
        <wp:inline distT="0" distB="0" distL="0" distR="0" wp14:anchorId="6512865F" wp14:editId="12B9DAE8">
          <wp:extent cx="6858000" cy="157480"/>
          <wp:effectExtent l="0" t="0" r="0" b="0"/>
          <wp:docPr id="12025118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858000" cy="1574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66F2" w14:textId="77777777" w:rsidR="00656538" w:rsidRDefault="00000000">
    <w:pPr>
      <w:pBdr>
        <w:top w:val="nil"/>
        <w:left w:val="nil"/>
        <w:bottom w:val="nil"/>
        <w:right w:val="nil"/>
        <w:between w:val="nil"/>
      </w:pBdr>
      <w:tabs>
        <w:tab w:val="center" w:pos="4680"/>
        <w:tab w:val="right" w:pos="9360"/>
      </w:tabs>
      <w:spacing w:after="0" w:line="240" w:lineRule="auto"/>
      <w:ind w:left="0"/>
      <w:jc w:val="center"/>
      <w:rPr>
        <w:color w:val="000000"/>
      </w:rPr>
    </w:pPr>
    <w:r>
      <w:rPr>
        <w:noProof/>
      </w:rPr>
      <w:drawing>
        <wp:inline distT="114300" distB="114300" distL="114300" distR="114300" wp14:anchorId="441CAE64" wp14:editId="1B5B0C3F">
          <wp:extent cx="5919788" cy="958777"/>
          <wp:effectExtent l="0" t="0" r="0" b="0"/>
          <wp:docPr id="12025118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19788" cy="95877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C6E55"/>
    <w:multiLevelType w:val="multilevel"/>
    <w:tmpl w:val="119E4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7238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38"/>
    <w:rsid w:val="00477590"/>
    <w:rsid w:val="00656538"/>
    <w:rsid w:val="00880280"/>
    <w:rsid w:val="00FA2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84386"/>
  <w15:docId w15:val="{DC54954F-C3A7-8D49-83F6-23057E6E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5" w:line="248"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FootnoteText">
    <w:name w:val="footnote text"/>
    <w:basedOn w:val="Normal"/>
    <w:link w:val="FootnoteTextChar"/>
    <w:uiPriority w:val="99"/>
    <w:semiHidden/>
    <w:unhideWhenUsed/>
    <w:rsid w:val="004801DE"/>
    <w:pPr>
      <w:spacing w:after="0" w:line="240" w:lineRule="auto"/>
    </w:pPr>
  </w:style>
  <w:style w:type="character" w:customStyle="1" w:styleId="FootnoteTextChar">
    <w:name w:val="Footnote Text Char"/>
    <w:basedOn w:val="DefaultParagraphFont"/>
    <w:link w:val="FootnoteText"/>
    <w:uiPriority w:val="99"/>
    <w:semiHidden/>
    <w:rsid w:val="004801DE"/>
  </w:style>
  <w:style w:type="character" w:styleId="FootnoteReference">
    <w:name w:val="footnote reference"/>
    <w:basedOn w:val="DefaultParagraphFont"/>
    <w:uiPriority w:val="99"/>
    <w:semiHidden/>
    <w:unhideWhenUsed/>
    <w:rsid w:val="004801DE"/>
    <w:rPr>
      <w:vertAlign w:val="superscript"/>
    </w:rPr>
  </w:style>
  <w:style w:type="paragraph" w:styleId="Header">
    <w:name w:val="header"/>
    <w:basedOn w:val="Normal"/>
    <w:link w:val="HeaderChar"/>
    <w:uiPriority w:val="99"/>
    <w:unhideWhenUsed/>
    <w:rsid w:val="005D2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8F1"/>
  </w:style>
  <w:style w:type="paragraph" w:styleId="Footer">
    <w:name w:val="footer"/>
    <w:basedOn w:val="Normal"/>
    <w:link w:val="FooterChar"/>
    <w:uiPriority w:val="99"/>
    <w:unhideWhenUsed/>
    <w:rsid w:val="005D2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8F1"/>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Nf+oY/L0VsEuAC9oFFrrQEkWg==">CgMxLjA4AHIhMWJyQUJqVWZtbXpyVHptZTktZ0FWemZmSXhpUFZMNDdI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Hinshaw</cp:lastModifiedBy>
  <cp:revision>2</cp:revision>
  <dcterms:created xsi:type="dcterms:W3CDTF">2024-04-17T17:54:00Z</dcterms:created>
  <dcterms:modified xsi:type="dcterms:W3CDTF">2026-03-02T23:00:00Z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Series Name">
    <vt:lpwstr>Series Name</vt:lpwstr>
  </property>
  <property fmtid="{D5CDD505-2E9C-101B-9397-08002B2CF9AE}" pid="4" name="Investment Amount">
    <vt:lpwstr>Investment Amount</vt:lpwstr>
  </property>
  <property fmtid="{D5CDD505-2E9C-101B-9397-08002B2CF9AE}" pid="5" name="Post-Money Valuation">
    <vt:lpwstr>Post-Money Valuation</vt:lpwstr>
  </property>
  <property fmtid="{D5CDD505-2E9C-101B-9397-08002B2CF9AE}" pid="6" name="Unallocated option pool">
    <vt:lpwstr>Unallocated option pool</vt:lpwstr>
  </property>
  <property fmtid="{D5CDD505-2E9C-101B-9397-08002B2CF9AE}" pid="7" name="Paradigm Ownership">
    <vt:lpwstr>Paradigm Ownership</vt:lpwstr>
  </property>
  <property fmtid="{D5CDD505-2E9C-101B-9397-08002B2CF9AE}" pid="8" name="Threshold for debt protective provision (1-10M)">
    <vt:lpwstr>Threshold for debt protective provision (1-10M)</vt:lpwstr>
  </property>
  <property fmtid="{D5CDD505-2E9C-101B-9397-08002B2CF9AE}" pid="9" name="Token Floor (generally 50%)">
    <vt:lpwstr>Token Floor (generally 50%)</vt:lpwstr>
  </property>
</Properties>
</file>