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90"/>
        <w:gridCol w:w="657"/>
        <w:gridCol w:w="1841"/>
        <w:gridCol w:w="376"/>
        <w:gridCol w:w="1360"/>
        <w:gridCol w:w="2618"/>
      </w:tblGrid>
      <w:tr w:rsidR="0098288F" w:rsidRPr="0019498B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88F" w:rsidRPr="0019498B" w:rsidRDefault="0019498B">
            <w:pPr>
              <w:spacing w:after="0"/>
              <w:rPr>
                <w:lang w:val="pl-PL"/>
              </w:rPr>
            </w:pPr>
            <w:r w:rsidRPr="0019498B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88F" w:rsidRPr="0019498B" w:rsidRDefault="0019498B">
            <w:pPr>
              <w:spacing w:after="0"/>
              <w:rPr>
                <w:lang w:val="pl-PL"/>
              </w:rPr>
            </w:pPr>
            <w:r w:rsidRPr="0019498B">
              <w:rPr>
                <w:rFonts w:ascii="Times New Roman" w:hAnsi="Times New Roman"/>
                <w:color w:val="000000"/>
                <w:lang w:val="pl-PL"/>
              </w:rPr>
              <w:t>55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88F" w:rsidRPr="0019498B" w:rsidRDefault="0019498B">
            <w:pPr>
              <w:spacing w:after="0"/>
              <w:rPr>
                <w:lang w:val="pl-PL"/>
              </w:rPr>
            </w:pPr>
            <w:r w:rsidRPr="0019498B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88F" w:rsidRPr="0019498B" w:rsidRDefault="0019498B">
            <w:pPr>
              <w:spacing w:after="0"/>
              <w:rPr>
                <w:lang w:val="pl-PL"/>
              </w:rPr>
            </w:pPr>
            <w:r w:rsidRPr="0019498B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88F" w:rsidRPr="0019498B" w:rsidRDefault="0019498B">
            <w:pPr>
              <w:spacing w:after="0"/>
              <w:rPr>
                <w:lang w:val="pl-PL"/>
              </w:rPr>
            </w:pPr>
            <w:r w:rsidRPr="0019498B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88F" w:rsidRPr="0019498B" w:rsidRDefault="0019498B">
            <w:pPr>
              <w:spacing w:after="0"/>
              <w:rPr>
                <w:lang w:val="pl-PL"/>
              </w:rPr>
            </w:pPr>
            <w:r w:rsidRPr="0019498B">
              <w:rPr>
                <w:rFonts w:ascii="Times New Roman" w:hAnsi="Times New Roman"/>
                <w:color w:val="000000"/>
                <w:lang w:val="pl-PL"/>
              </w:rPr>
              <w:t>Budżet miasta</w:t>
            </w:r>
          </w:p>
        </w:tc>
      </w:tr>
      <w:tr w:rsidR="0098288F" w:rsidRPr="0019498B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88F" w:rsidRPr="0019498B" w:rsidRDefault="0019498B">
            <w:pPr>
              <w:spacing w:after="0"/>
              <w:rPr>
                <w:lang w:val="pl-PL"/>
              </w:rPr>
            </w:pPr>
            <w:r w:rsidRPr="0019498B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88F" w:rsidRPr="0019498B" w:rsidRDefault="0019498B">
            <w:pPr>
              <w:spacing w:after="0"/>
              <w:rPr>
                <w:lang w:val="pl-PL"/>
              </w:rPr>
            </w:pPr>
            <w:r w:rsidRPr="0019498B">
              <w:rPr>
                <w:rFonts w:ascii="Times New Roman" w:hAnsi="Times New Roman"/>
                <w:color w:val="000000"/>
                <w:lang w:val="pl-PL"/>
              </w:rPr>
              <w:t xml:space="preserve">Dominika Hołuj - 0; </w:t>
            </w:r>
          </w:p>
        </w:tc>
      </w:tr>
      <w:tr w:rsidR="0098288F" w:rsidRPr="0019498B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88F" w:rsidRPr="0019498B" w:rsidRDefault="0019498B">
            <w:pPr>
              <w:spacing w:after="269"/>
              <w:ind w:left="15"/>
              <w:rPr>
                <w:lang w:val="pl-PL"/>
              </w:rPr>
            </w:pPr>
            <w:r w:rsidRPr="0019498B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19498B">
              <w:rPr>
                <w:rFonts w:ascii="Times New Roman" w:hAnsi="Times New Roman"/>
                <w:b/>
                <w:color w:val="000000"/>
                <w:lang w:val="pl-PL"/>
              </w:rPr>
              <w:t>Budżet miasta</w:t>
            </w:r>
            <w:r w:rsidRPr="0019498B">
              <w:rPr>
                <w:rFonts w:ascii="Times New Roman" w:hAnsi="Times New Roman"/>
                <w:color w:val="000000"/>
                <w:lang w:val="pl-PL"/>
              </w:rPr>
              <w:t xml:space="preserve"> - w latach 1991-1998 był jednolitym budżetem szczebla gminnego, natomiast od roku 1999, od kiedy Kraków został miastem na prawach powiatu, jego budżet składa się z dwóch części: gminnej i powiatowej. W latach: 1991-1995, 2010, 2011 i 2013 zamknął się nadw</w:t>
            </w:r>
            <w:r w:rsidRPr="0019498B">
              <w:rPr>
                <w:rFonts w:ascii="Times New Roman" w:hAnsi="Times New Roman"/>
                <w:color w:val="000000"/>
                <w:lang w:val="pl-PL"/>
              </w:rPr>
              <w:t>yżką, w pozostałych latach – deficytem. Począwszy od lat 90. XX w. kwota skumulowanego długu na koniec roku budżetowego rosła rokrocznie aż do roku 2011 (osiągając wtedy wysokość ok. 2 mld zł). W kolejnych latach utrzymywała się na podobnym poziomie, aby o</w:t>
            </w:r>
            <w:r w:rsidRPr="0019498B">
              <w:rPr>
                <w:rFonts w:ascii="Times New Roman" w:hAnsi="Times New Roman"/>
                <w:color w:val="000000"/>
                <w:lang w:val="pl-PL"/>
              </w:rPr>
              <w:t>d roku 2015 ponownie rosnąć, osiągając wartość skumulowaną na koniec 2019 równą 3,07 mld zł. Wykonanie planu dochodów budżetu w okresie lat 1991-2019 sukcesywnie rosło (osiągając w 1995 – 437,5 mln zł; w 2000 – 1324,3 mln zł; w 2005 – 2018,2 mln zł; 2010 –</w:t>
            </w:r>
            <w:r w:rsidRPr="0019498B">
              <w:rPr>
                <w:rFonts w:ascii="Times New Roman" w:hAnsi="Times New Roman"/>
                <w:color w:val="000000"/>
                <w:lang w:val="pl-PL"/>
              </w:rPr>
              <w:t xml:space="preserve"> 3384,8 mln zł; 2015 – 4135,9 mln zł; a w 2019 – 5912,0 mln zł). W strukturze wykonanych dochodów dominowały te z części gminnej. Część powiatowa budżetu miała w okresie lat 1999-2019 udział w budżecie Gminy Miasta Krakowa na poziomie 20-25% wykonanych doc</w:t>
            </w:r>
            <w:r w:rsidRPr="0019498B">
              <w:rPr>
                <w:rFonts w:ascii="Times New Roman" w:hAnsi="Times New Roman"/>
                <w:color w:val="000000"/>
                <w:lang w:val="pl-PL"/>
              </w:rPr>
              <w:t>hodów ogółem. W strukturze wykonanych dochodów: dochody własne (w tym: dochody z podatków lokalnych, opłat, dochody z mienia, wpływy ze sprzedaży biletów komunikacji miejskiej) wraz z udziałem w podatkach dochodowych od osób fizycznych i osób prawnych, sta</w:t>
            </w:r>
            <w:r w:rsidRPr="0019498B">
              <w:rPr>
                <w:rFonts w:ascii="Times New Roman" w:hAnsi="Times New Roman"/>
                <w:color w:val="000000"/>
                <w:lang w:val="pl-PL"/>
              </w:rPr>
              <w:t>nowiły w okresie lat 1991-2019 między 50-70% budżetu dochodowego ogółem. Udział subwencji i dotacji wynosił w analizowanym okresie około 30% (incydentalnie rósł do 50%). Środki ze źródeł zagranicznych niepodlegające zwrotowi stanowiły od 1-3% budżetu, co z</w:t>
            </w:r>
            <w:r w:rsidRPr="0019498B">
              <w:rPr>
                <w:rFonts w:ascii="Times New Roman" w:hAnsi="Times New Roman"/>
                <w:color w:val="000000"/>
                <w:lang w:val="pl-PL"/>
              </w:rPr>
              <w:t xml:space="preserve"> jednej strony jest udziałem znikomym, jednak uzyskiwanie tych dodatkowych źródeł dochodów przyczyniło się do rozwoju programu inwestycyjnego gminy. Wykonane wydatki w okresie lat 1991-2019 sukcesywnie wzrastały, co było możliwe dzięki zwiększaniu się wyko</w:t>
            </w:r>
            <w:r w:rsidRPr="0019498B">
              <w:rPr>
                <w:rFonts w:ascii="Times New Roman" w:hAnsi="Times New Roman"/>
                <w:color w:val="000000"/>
                <w:lang w:val="pl-PL"/>
              </w:rPr>
              <w:t>nanych dochodów, jak i w związku z sukcesywnym zadłużaniem budżetu miasta (na poczet realizacji programu inwestycyjnego). Wykonane wydatki w roku 1995 wynosiły – 418,5 mln zł, w roku 2000 – 1486,1 mln zł; w 2005 – 2112,5 mln zł; 2010 – 3364,5 mln zł; w 201</w:t>
            </w:r>
            <w:r w:rsidRPr="0019498B">
              <w:rPr>
                <w:rFonts w:ascii="Times New Roman" w:hAnsi="Times New Roman"/>
                <w:color w:val="000000"/>
                <w:lang w:val="pl-PL"/>
              </w:rPr>
              <w:t xml:space="preserve">5 – 4213,9 mln zł, a w 2019 - 6211,9 mln zł). W strukturze wykonanych wydatków budżetu dominowały te bieżące (w okresie lat 1991-2019 ich udział wahał się w granicach 73-85% ogółu wykonanych wydatków). Pozostałą część stanowiły wydatki majątkowe. </w:t>
            </w:r>
          </w:p>
        </w:tc>
      </w:tr>
    </w:tbl>
    <w:p w:rsidR="0098288F" w:rsidRPr="0019498B" w:rsidRDefault="0019498B">
      <w:pPr>
        <w:spacing w:after="0"/>
        <w:rPr>
          <w:lang w:val="pl-PL"/>
        </w:rPr>
      </w:pPr>
      <w:r w:rsidRPr="0019498B">
        <w:rPr>
          <w:lang w:val="pl-PL"/>
        </w:rPr>
        <w:br/>
      </w:r>
    </w:p>
    <w:sectPr w:rsidR="0098288F" w:rsidRPr="0019498B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98288F"/>
    <w:rsid w:val="0019498B"/>
    <w:rsid w:val="0098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AC361-C48D-4081-A7BD-E17FAA1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2020-09-17T18:52:00Z</dcterms:created>
  <dcterms:modified xsi:type="dcterms:W3CDTF">2020-09-17T18:52:00Z</dcterms:modified>
</cp:coreProperties>
</file>