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851"/>
        <w:gridCol w:w="581"/>
        <w:gridCol w:w="1630"/>
        <w:gridCol w:w="332"/>
        <w:gridCol w:w="1210"/>
        <w:gridCol w:w="3338"/>
      </w:tblGrid>
      <w:tr w:rsidR="008417F2" w:rsidRPr="001C2E81">
        <w:trPr>
          <w:trHeight w:val="45"/>
          <w:tblCellSpacing w:w="0" w:type="auto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42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Bonarka City Center</w:t>
            </w:r>
          </w:p>
        </w:tc>
      </w:tr>
      <w:tr w:rsidR="008417F2" w:rsidRPr="001C2E81">
        <w:trPr>
          <w:trHeight w:val="45"/>
          <w:tblCellSpacing w:w="0" w:type="auto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0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Krzysztof Broński - 0; </w:t>
            </w:r>
          </w:p>
        </w:tc>
      </w:tr>
      <w:tr w:rsidR="008417F2" w:rsidRPr="001C2E81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17F2" w:rsidRPr="001C2E81" w:rsidRDefault="001C2E81">
            <w:pPr>
              <w:spacing w:after="269"/>
              <w:ind w:left="15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1C2E81">
              <w:rPr>
                <w:rFonts w:ascii="Times New Roman" w:hAnsi="Times New Roman"/>
                <w:b/>
                <w:color w:val="000000"/>
                <w:lang w:val="pl-PL"/>
              </w:rPr>
              <w:t>Bonarka City Center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, wielofunkcyjne centrum miejskie zlokalizowane na terenie dzielnicy Podgórze Duchackie przy ul. Kamieńskiego; powstało na ok. 19 ha poprzem. terenów d. zakładów chem. „Bonarka”; otwarte XI 2009. Inwestorem centrum była firma projektowa Roland Investments 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>sp. z o.o., w której gł. udziałowcem (80% udziałów) jest TriGranit Holding Ltd. Aby stworzyć przyjazną miejską zabudowę konieczna stała się gruntowna rekultywacja terenu. Rozpoczęta 2006 rekultywacja oraz likwidacja zanieczyszczeń była jedną z największych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realizacji tego typu w Polsce. Kamień węgielny pod inwestycję wmurowano II 2008. Zrealizowane przedsięwzięcie obejmuje zespół obiektów handl.-usługowych z parkingami, zaprojektowanych w postaci kilku brył prostopadłościennych, scalonych poprzez przestronn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>e pasaże handlowe. Szklane powierzchnie przykrywające kompleks zapewniają dużą ilość światła dziennego. Budynki wykonano z naturalnych surowców (kamień, drewno, szkło). Wybór materiałów do fasad i elewacji odzwierciedla przem. przeszłość terenu. Integralną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częścią jest przebudowana infrastruktura komunik. ułatwiająca płynny dostęp do całości kompleksu. Na pow. handl. wynoszącej ok. 92 tys. m2 znajduje się ponad 230 punktów handl.-usługowych i restauracji, w tym m.in.: Auchan, Media Expert, TK Maxx; pojawiaj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>ą się także różne nowe marki. Metamorfozy obejmujące m.in. tworzenie innowacyjnych ekspozycji oraz nowy sposób zagospodarowania przestrzeni, czasem w parze z relokacją, przechodzą różne sklepy najemców tego obiektu. Umieszczony został tutaj również jeden z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największych w Polsce megapleksów — Cinema City Bonarka. Na terenie BCC mieści się jeden z pierwszych na świecie ośrodków edukacyjno-wychowawczych w centrum handl.: Siemacha Spot. Przy budynku znajduje się trzypoziomowy parking o pojemności ponad 3,2 tys.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miejsc. Właściciel Bonarki — NEPI Rockcastle plc jest wiodącym inwestorem oraz deweloperem nieruchomości komercyjnych w Europie Środkowo-Wsch.; zarządcą obiektu jest firma Apsys Polska.W sąsiedztwie centrum handlowo-rozrywkowego powstaje kompleks biurowy 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>Bonarka for Business (B4B) składający się z nowoczesnych biurowców klasy A, w starannie zaplanowanym układzie urbanistycznym. Pierwsze dwa biurowce należące do kompleksu otwarto w 2011, w kolejnych latach, oddawano do użytku następne budynki biurowe. W ram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ach B4B powstanie 10 biurowców, których łączna powierzchnia najmu wyniesie ok. 100 tys. m kw. Zastosowane nowoczesne rozwiązania architektoniczne, technologiczne i funkcjonalne, zapewniają pełną elastyczność w aranżacji wnętrz i optymalne środowisko pracy 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>dla najemcy. B4B jest największym zespołem biurowców w południowej części Krakowa. Głównymi najemcami w kompleksie B4B są m.in.: Alexander Mann Solutions, State Street, Pegasystems, Herbalife Nutrition, Lufthansa Global Business Services, Global Logic Skel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ia, VSoft oraz Euroclear. W sąsiedztwie kompleksu handlowo-biurowego powstało osiedle mieszkaniowe Bonarka City Center. </w:t>
            </w:r>
          </w:p>
          <w:p w:rsidR="008417F2" w:rsidRPr="001C2E81" w:rsidRDefault="008417F2">
            <w:pPr>
              <w:spacing w:after="269"/>
              <w:ind w:left="15"/>
              <w:rPr>
                <w:lang w:val="pl-PL"/>
              </w:rPr>
            </w:pPr>
          </w:p>
          <w:p w:rsidR="008417F2" w:rsidRPr="001C2E81" w:rsidRDefault="001C2E81">
            <w:pPr>
              <w:spacing w:after="269"/>
              <w:ind w:left="15"/>
              <w:rPr>
                <w:lang w:val="pl-PL"/>
              </w:rPr>
            </w:pP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 Czy centrum biurowe Bonarka będzie miało osobne hasło? Jeżeli nie, warto tutaj wspomnieć, że obok centrum handlowego powstało także c</w:t>
            </w:r>
            <w:r w:rsidRPr="001C2E81">
              <w:rPr>
                <w:rFonts w:ascii="Times New Roman" w:hAnsi="Times New Roman"/>
                <w:color w:val="000000"/>
                <w:lang w:val="pl-PL"/>
              </w:rPr>
              <w:t xml:space="preserve">entrum biurowe. </w:t>
            </w:r>
          </w:p>
        </w:tc>
      </w:tr>
    </w:tbl>
    <w:p w:rsidR="008417F2" w:rsidRPr="001C2E81" w:rsidRDefault="001C2E81">
      <w:pPr>
        <w:spacing w:after="0"/>
        <w:rPr>
          <w:lang w:val="pl-PL"/>
        </w:rPr>
      </w:pPr>
      <w:r w:rsidRPr="001C2E81">
        <w:rPr>
          <w:lang w:val="pl-PL"/>
        </w:rPr>
        <w:br/>
      </w:r>
    </w:p>
    <w:sectPr w:rsidR="008417F2" w:rsidRPr="001C2E81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417F2"/>
    <w:rsid w:val="001C2E81"/>
    <w:rsid w:val="0084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2020-09-17T22:19:00Z</dcterms:created>
  <dcterms:modified xsi:type="dcterms:W3CDTF">2020-09-17T22:19:00Z</dcterms:modified>
</cp:coreProperties>
</file>