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pBdr>
          <w:bottom w:val="single" w:color="1F3864" w:sz="14" w:space="14"/>
        </w:pBdr>
        <w:spacing w:after="40"/>
        <w:jc w:val="center"/>
      </w:pPr>
      <w:r>
        <w:rPr>
          <w:rFonts w:ascii="Calibri" w:cs="Calibri" w:eastAsia="Calibri" w:hAnsi="Calibri"/>
          <w:b/>
          <w:bCs/>
          <w:color w:val="1F3864"/>
          <w:sz w:val="56"/>
          <w:szCs w:val="56"/>
        </w:rPr>
        <w:t xml:space="preserve">COMPLIANCE SYSTEM</w:t>
      </w:r>
    </w:p>
    <w:p>
      <w:pPr>
        <w:spacing w:after="40" w:before="220"/>
        <w:jc w:val="center"/>
      </w:pPr>
      <w:r>
        <w:rPr>
          <w:rFonts w:ascii="Calibri" w:cs="Calibri" w:eastAsia="Calibri" w:hAnsi="Calibri"/>
          <w:color w:val="2E5496"/>
          <w:sz w:val="34"/>
          <w:szCs w:val="34"/>
        </w:rPr>
        <w:t xml:space="preserve">A Plain-Language Overview</w:t>
      </w:r>
    </w:p>
    <w:p>
      <w:pPr>
        <w:spacing w:after="900"/>
        <w:jc w:val="center"/>
      </w:pPr>
      <w:r>
        <w:rPr>
          <w:rFonts w:ascii="Calibri" w:cs="Calibri" w:eastAsia="Calibri" w:hAnsi="Calibri"/>
          <w:i/>
          <w:iCs/>
          <w:color w:val="595959"/>
          <w:sz w:val="22"/>
          <w:szCs w:val="22"/>
        </w:rPr>
        <w:t xml:space="preserve">How the platform works — the Portal, the Engine, and the Rule-Authoring Tool</w:t>
      </w:r>
    </w:p>
    <w:p>
      <w:pPr>
        <w:spacing w:after="30"/>
        <w:jc w:val="center"/>
      </w:pPr>
      <w:r>
        <w:rPr>
          <w:rFonts w:ascii="Calibri" w:cs="Calibri" w:eastAsia="Calibri" w:hAnsi="Calibri"/>
          <w:color w:val="595959"/>
          <w:sz w:val="20"/>
          <w:szCs w:val="20"/>
        </w:rPr>
        <w:t xml:space="preserve">Prepared by</w:t>
      </w:r>
    </w:p>
    <w:p>
      <w:pPr>
        <w:spacing w:after="30"/>
        <w:jc w:val="center"/>
      </w:pPr>
      <w:r>
        <w:rPr>
          <w:rFonts w:ascii="Calibri" w:cs="Calibri" w:eastAsia="Calibri" w:hAnsi="Calibri"/>
          <w:b/>
          <w:bCs/>
          <w:color w:val="1F3864"/>
          <w:sz w:val="28"/>
          <w:szCs w:val="28"/>
        </w:rPr>
        <w:t xml:space="preserve">Parth Bathiya</w:t>
      </w:r>
    </w:p>
    <w:p>
      <w:pPr>
        <w:spacing w:after="30"/>
        <w:jc w:val="center"/>
      </w:pPr>
      <w:r>
        <w:rPr>
          <w:rFonts w:ascii="Calibri" w:cs="Calibri" w:eastAsia="Calibri" w:hAnsi="Calibri"/>
          <w:color w:val="595959"/>
          <w:sz w:val="20"/>
          <w:szCs w:val="20"/>
        </w:rPr>
        <w:t xml:space="preserve">September 2026</w:t>
      </w:r>
    </w:p>
    <w:p>
      <w:pPr>
        <w:spacing w:before="40"/>
        <w:jc w:val="center"/>
      </w:pPr>
      <w:r>
        <w:rPr>
          <w:rFonts w:ascii="Calibri" w:cs="Calibri" w:eastAsia="Calibri" w:hAnsi="Calibri"/>
          <w:i/>
          <w:iCs/>
          <w:color w:val="595959"/>
          <w:sz w:val="18"/>
          <w:szCs w:val="18"/>
        </w:rPr>
        <w:t xml:space="preserve">Audience: General / non-technical readers</w:t>
      </w:r>
    </w:p>
    <w:p>
      <w:r>
        <w:br w:type="page"/>
      </w:r>
    </w:p>
    <w:p>
      <w:pPr>
        <w:pStyle w:val="Heading1"/>
      </w:pPr>
      <w:r>
        <w:t xml:space="preserve">Contents</w:t>
      </w:r>
    </w:p>
    <w:p>
      <w:pPr>
        <w:spacing w:after="120" w:line="276"/>
      </w:pPr>
      <w:r>
        <w:rPr>
          <w:rFonts w:ascii="Calibri" w:cs="Calibri" w:eastAsia="Calibri" w:hAnsi="Calibri"/>
          <w:color w:val="222222"/>
          <w:sz w:val="22"/>
          <w:szCs w:val="22"/>
        </w:rPr>
        <w:t xml:space="preserve">1.  Purpose of This Document</w:t>
      </w:r>
    </w:p>
    <w:p>
      <w:pPr>
        <w:spacing w:after="120" w:line="276"/>
      </w:pPr>
      <w:r>
        <w:rPr>
          <w:rFonts w:ascii="Calibri" w:cs="Calibri" w:eastAsia="Calibri" w:hAnsi="Calibri"/>
          <w:color w:val="222222"/>
          <w:sz w:val="22"/>
          <w:szCs w:val="22"/>
        </w:rPr>
        <w:t xml:space="preserve">2.  The Business Context: What Is Being Checked, and Why It Matters</w:t>
      </w:r>
    </w:p>
    <w:p>
      <w:pPr>
        <w:spacing w:after="120" w:line="276"/>
      </w:pPr>
      <w:r>
        <w:rPr>
          <w:rFonts w:ascii="Calibri" w:cs="Calibri" w:eastAsia="Calibri" w:hAnsi="Calibri"/>
          <w:color w:val="222222"/>
          <w:sz w:val="22"/>
          <w:szCs w:val="22"/>
        </w:rPr>
        <w:t xml:space="preserve">3.  The Big Picture: Three Systems Working Together</w:t>
      </w:r>
    </w:p>
    <w:p>
      <w:pPr>
        <w:spacing w:after="120" w:line="276"/>
      </w:pPr>
      <w:r>
        <w:rPr>
          <w:rFonts w:ascii="Calibri" w:cs="Calibri" w:eastAsia="Calibri" w:hAnsi="Calibri"/>
          <w:color w:val="222222"/>
          <w:sz w:val="22"/>
          <w:szCs w:val="22"/>
        </w:rPr>
        <w:t xml:space="preserve">4.  System One: The Portal (What Users See and Use)</w:t>
      </w:r>
    </w:p>
    <w:p>
      <w:pPr>
        <w:spacing w:after="120" w:line="276"/>
      </w:pPr>
      <w:r>
        <w:rPr>
          <w:rFonts w:ascii="Calibri" w:cs="Calibri" w:eastAsia="Calibri" w:hAnsi="Calibri"/>
          <w:color w:val="222222"/>
          <w:sz w:val="22"/>
          <w:szCs w:val="22"/>
        </w:rPr>
        <w:t xml:space="preserve">5.  System Two: The Compliance Engine (Where the Work Happens)</w:t>
      </w:r>
    </w:p>
    <w:p>
      <w:pPr>
        <w:spacing w:after="120" w:line="276"/>
      </w:pPr>
      <w:r>
        <w:rPr>
          <w:rFonts w:ascii="Calibri" w:cs="Calibri" w:eastAsia="Calibri" w:hAnsi="Calibri"/>
          <w:color w:val="222222"/>
          <w:sz w:val="22"/>
          <w:szCs w:val="22"/>
        </w:rPr>
        <w:t xml:space="preserve">6.  System Three: The Rule-Authoring Tool (Where the Rules Are Written)</w:t>
      </w:r>
    </w:p>
    <w:p>
      <w:pPr>
        <w:spacing w:after="120" w:line="276"/>
      </w:pPr>
      <w:r>
        <w:rPr>
          <w:rFonts w:ascii="Calibri" w:cs="Calibri" w:eastAsia="Calibri" w:hAnsi="Calibri"/>
          <w:color w:val="222222"/>
          <w:sz w:val="22"/>
          <w:szCs w:val="22"/>
        </w:rPr>
        <w:t xml:space="preserve">7.  How a Real Task Flows Through the System</w:t>
      </w:r>
    </w:p>
    <w:p>
      <w:pPr>
        <w:spacing w:after="120" w:line="276"/>
      </w:pPr>
      <w:r>
        <w:rPr>
          <w:rFonts w:ascii="Calibri" w:cs="Calibri" w:eastAsia="Calibri" w:hAnsi="Calibri"/>
          <w:color w:val="222222"/>
          <w:sz w:val="22"/>
          <w:szCs w:val="22"/>
        </w:rPr>
        <w:t xml:space="preserve">8.  A Tour of the Compliance Screens</w:t>
      </w:r>
    </w:p>
    <w:p>
      <w:pPr>
        <w:spacing w:after="120" w:line="276"/>
      </w:pPr>
      <w:r>
        <w:rPr>
          <w:rFonts w:ascii="Calibri" w:cs="Calibri" w:eastAsia="Calibri" w:hAnsi="Calibri"/>
          <w:color w:val="222222"/>
          <w:sz w:val="22"/>
          <w:szCs w:val="22"/>
        </w:rPr>
        <w:t xml:space="preserve">9.  An Important Naming Clarification</w:t>
      </w:r>
    </w:p>
    <w:p>
      <w:pPr>
        <w:spacing w:after="120" w:line="276"/>
      </w:pPr>
      <w:r>
        <w:rPr>
          <w:rFonts w:ascii="Calibri" w:cs="Calibri" w:eastAsia="Calibri" w:hAnsi="Calibri"/>
          <w:color w:val="222222"/>
          <w:sz w:val="22"/>
          <w:szCs w:val="22"/>
        </w:rPr>
        <w:t xml:space="preserve">10.  Key Terms Explained</w:t>
      </w:r>
    </w:p>
    <w:p>
      <w:pPr>
        <w:spacing w:after="120" w:line="276"/>
      </w:pPr>
      <w:r>
        <w:rPr>
          <w:rFonts w:ascii="Calibri" w:cs="Calibri" w:eastAsia="Calibri" w:hAnsi="Calibri"/>
          <w:color w:val="222222"/>
          <w:sz w:val="22"/>
          <w:szCs w:val="22"/>
        </w:rPr>
        <w:t xml:space="preserve">11.  Summary and Key Takeaways</w:t>
      </w:r>
    </w:p>
    <w:p>
      <w:r>
        <w:br w:type="page"/>
      </w:r>
    </w:p>
    <w:p>
      <w:pPr>
        <w:pStyle w:val="Heading1"/>
      </w:pPr>
      <w:r>
        <w:t xml:space="preserve">1. Purpose of This Document</w:t>
      </w:r>
    </w:p>
    <w:p>
      <w:pPr>
        <w:spacing w:after="140" w:before="0" w:line="276"/>
      </w:pPr>
      <w:r>
        <w:rPr>
          <w:rFonts w:ascii="Calibri" w:cs="Calibri" w:eastAsia="Calibri" w:hAnsi="Calibri"/>
          <w:sz w:val="22"/>
          <w:szCs w:val="22"/>
        </w:rPr>
        <w:t xml:space="preserve">This document explains, in everyday language, how our Compliance platform is built and how its parts work together. It is written for readers who do not need to see any programming code and who simply want a clear, confident understanding of what the system does, who uses it, and how information flows from one part to another.</w:t>
      </w:r>
    </w:p>
    <w:p>
      <w:pPr>
        <w:spacing w:after="140" w:before="0" w:line="276"/>
      </w:pPr>
      <w:r>
        <w:rPr>
          <w:rFonts w:ascii="Calibri" w:cs="Calibri" w:eastAsia="Calibri" w:hAnsi="Calibri"/>
          <w:sz w:val="22"/>
          <w:szCs w:val="22"/>
        </w:rPr>
        <w:t xml:space="preserve">By the end of this document you should be able to answer questions such as: What are the main pieces of this platform? Which part do users actually click around in? Where do the compliance rules come from? And how does a fund end up with a clear pass-or-fail result on screen? The material is deliberately structured so it can be talked through in a one-to-two hour walkthrough, with each section building on the previous one.</w:t>
      </w:r>
    </w:p>
    <w:tbl>
      <w:tblPr>
        <w:tblW w:type="dxa" w:w="9360"/>
        <w:tblBorders>
          <w:top w:val="single" w:color="2E5496" w:sz="4"/>
          <w:left w:val="single" w:color="2E5496" w:sz="18"/>
          <w:bottom w:val="single" w:color="2E5496" w:sz="4"/>
          <w:right w:val="single" w:color="2E5496" w:sz="4"/>
          <w:insideH w:val="none"/>
          <w:insideV w:val="none"/>
        </w:tblBorders>
      </w:tblPr>
      <w:tblGrid>
        <w:gridCol w:w="9360"/>
      </w:tblGrid>
      <w:tr>
        <w:tc>
          <w:tcPr>
            <w:tcW w:type="dxa" w:w="9360"/>
            <w:shd w:fill="EEF2FA" w:color="auto" w:val="clear"/>
            <w:tcMar>
              <w:top w:type="dxa" w:w="140"/>
              <w:left w:type="dxa" w:w="200"/>
              <w:bottom w:type="dxa" w:w="140"/>
              <w:right w:type="dxa" w:w="200"/>
            </w:tcMar>
          </w:tcPr>
          <w:p>
            <w:pPr>
              <w:spacing w:line="276"/>
            </w:pPr>
            <w:r>
              <w:rPr>
                <w:rFonts w:ascii="Calibri" w:cs="Calibri" w:eastAsia="Calibri" w:hAnsi="Calibri"/>
                <w:b/>
                <w:bCs/>
                <w:color w:val="1F3864"/>
                <w:sz w:val="22"/>
                <w:szCs w:val="22"/>
              </w:rPr>
              <w:t xml:space="preserve">In plain terms:  </w:t>
            </w:r>
            <w:r>
              <w:rPr>
                <w:rFonts w:ascii="Calibri" w:cs="Calibri" w:eastAsia="Calibri" w:hAnsi="Calibri"/>
                <w:color w:val="222222"/>
                <w:sz w:val="22"/>
                <w:szCs w:val="22"/>
              </w:rPr>
              <w:t xml:space="preserve">You do not need any technical background to follow this. Wherever a specialist term appears, it is explained straight away, and a full glossary is provided at the end.</w:t>
            </w:r>
          </w:p>
        </w:tc>
      </w:tr>
    </w:tbl>
    <w:p>
      <w:pPr>
        <w:pStyle w:val="Heading1"/>
      </w:pPr>
      <w:r>
        <w:t xml:space="preserve">2. The Business Context: What Is Being Checked, and Why It Matters</w:t>
      </w:r>
    </w:p>
    <w:p>
      <w:pPr>
        <w:spacing w:after="140" w:before="0" w:line="276"/>
      </w:pPr>
      <w:r>
        <w:rPr>
          <w:rFonts w:ascii="Calibri" w:cs="Calibri" w:eastAsia="Calibri" w:hAnsi="Calibri"/>
          <w:b/>
          <w:bCs/>
          <w:color w:val="1F3864"/>
          <w:sz w:val="22"/>
          <w:szCs w:val="22"/>
        </w:rPr>
        <w:t xml:space="preserve">Before looking at the software, it helps to understand the real-world problem it solves.</w:t>
      </w:r>
    </w:p>
    <w:p>
      <w:pPr>
        <w:spacing w:after="140" w:before="0" w:line="276"/>
      </w:pPr>
      <w:r>
        <w:rPr>
          <w:rFonts w:ascii="Calibri" w:cs="Calibri" w:eastAsia="Calibri" w:hAnsi="Calibri"/>
          <w:sz w:val="22"/>
          <w:szCs w:val="22"/>
        </w:rPr>
        <w:t xml:space="preserve">Our platform serves investment firms that manage a type of fund known as a CLO — a Collateralized Loan Obligation. In simple terms, a CLO is a large fund that pools together many corporate loans and then issues investment products backed by those loans. Investors put money in; the fund earns income from the underlying loans and pays it back out in an agreed order.</w:t>
      </w:r>
    </w:p>
    <w:p>
      <w:pPr>
        <w:spacing w:after="140" w:before="0" w:line="276"/>
      </w:pPr>
      <w:r>
        <w:rPr>
          <w:rFonts w:ascii="Calibri" w:cs="Calibri" w:eastAsia="Calibri" w:hAnsi="Calibri"/>
          <w:sz w:val="22"/>
          <w:szCs w:val="22"/>
        </w:rPr>
        <w:t xml:space="preserve">Every CLO is governed by a detailed legal agreement called an indenture. The indenture sets out the rules the fund must follow at all times — for example, limits on how much of the fund can be concentrated in a single industry, minimum quality levels for the loans it holds, and specific financial ratios that must be maintained. These rules exist to protect investors and to keep the fund healthy.</w:t>
      </w:r>
    </w:p>
    <w:p>
      <w:pPr>
        <w:spacing w:after="140" w:before="0" w:line="276"/>
      </w:pPr>
      <w:r>
        <w:rPr>
          <w:rFonts w:ascii="Calibri" w:cs="Calibri" w:eastAsia="Calibri" w:hAnsi="Calibri"/>
          <w:sz w:val="22"/>
          <w:szCs w:val="22"/>
        </w:rPr>
        <w:t xml:space="preserve">“Compliance” is the ongoing job of checking that the fund is obeying every one of those rules. Because a fund's holdings change constantly, this checking cannot be done once and forgotten — it has to be repeatable, accurate, and fast. Doing it by hand across dozens of rules and many funds would be slow and error-prone, and a missed breach can have serious financial and regulatory consequences.</w:t>
      </w:r>
    </w:p>
    <w:tbl>
      <w:tblPr>
        <w:tblW w:type="dxa" w:w="9360"/>
        <w:tblBorders>
          <w:top w:val="single" w:color="2E5496" w:sz="4"/>
          <w:left w:val="single" w:color="2E5496" w:sz="18"/>
          <w:bottom w:val="single" w:color="2E5496" w:sz="4"/>
          <w:right w:val="single" w:color="2E5496" w:sz="4"/>
          <w:insideH w:val="none"/>
          <w:insideV w:val="none"/>
        </w:tblBorders>
      </w:tblPr>
      <w:tblGrid>
        <w:gridCol w:w="9360"/>
      </w:tblGrid>
      <w:tr>
        <w:tc>
          <w:tcPr>
            <w:tcW w:type="dxa" w:w="9360"/>
            <w:shd w:fill="EEF2FA" w:color="auto" w:val="clear"/>
            <w:tcMar>
              <w:top w:type="dxa" w:w="140"/>
              <w:left w:type="dxa" w:w="200"/>
              <w:bottom w:type="dxa" w:w="140"/>
              <w:right w:type="dxa" w:w="200"/>
            </w:tcMar>
          </w:tcPr>
          <w:p>
            <w:pPr>
              <w:spacing w:line="276"/>
            </w:pPr>
            <w:r>
              <w:rPr>
                <w:rFonts w:ascii="Calibri" w:cs="Calibri" w:eastAsia="Calibri" w:hAnsi="Calibri"/>
                <w:b/>
                <w:bCs/>
                <w:color w:val="1F3864"/>
                <w:sz w:val="22"/>
                <w:szCs w:val="22"/>
              </w:rPr>
              <w:t xml:space="preserve">In plain terms:  </w:t>
            </w:r>
            <w:r>
              <w:rPr>
                <w:rFonts w:ascii="Calibri" w:cs="Calibri" w:eastAsia="Calibri" w:hAnsi="Calibri"/>
                <w:color w:val="222222"/>
                <w:sz w:val="22"/>
                <w:szCs w:val="22"/>
              </w:rPr>
              <w:t xml:space="preserve">Our platform automates this checking. It takes each fund's current data, applies the fund's specific rules, and produces a clear pass-or-fail result — along with the reports, comparisons, and “what-if” analysis the compliance team needs to do their job.</w:t>
            </w:r>
          </w:p>
        </w:tc>
      </w:tr>
    </w:tbl>
    <w:p>
      <w:pPr>
        <w:pStyle w:val="Heading1"/>
      </w:pPr>
      <w:r>
        <w:t xml:space="preserve">3. The Big Picture: Three Systems Working Together</w:t>
      </w:r>
    </w:p>
    <w:p>
      <w:pPr>
        <w:spacing w:after="140" w:before="0" w:line="276"/>
      </w:pPr>
      <w:r>
        <w:rPr>
          <w:rFonts w:ascii="Calibri" w:cs="Calibri" w:eastAsia="Calibri" w:hAnsi="Calibri"/>
          <w:sz w:val="22"/>
          <w:szCs w:val="22"/>
        </w:rPr>
        <w:t xml:space="preserve">The platform is made up of three separate programs. Each has one clear job, and together they form a simple production line. A restaurant makes a helpful comparison:</w:t>
      </w:r>
    </w:p>
    <w:p>
      <w:pPr>
        <w:pStyle w:val="ListParagraph"/>
        <w:numPr>
          <w:ilvl w:val="0"/>
          <w:numId w:val="2"/>
        </w:numPr>
        <w:spacing w:after="90" w:line="276"/>
      </w:pPr>
      <w:r>
        <w:rPr>
          <w:rFonts w:ascii="Calibri" w:cs="Calibri" w:eastAsia="Calibri" w:hAnsi="Calibri"/>
          <w:sz w:val="22"/>
          <w:szCs w:val="22"/>
        </w:rPr>
        <w:t xml:space="preserve">The Portal is the dining room and the menu — the part customers see, sit in, and interact with.</w:t>
      </w:r>
    </w:p>
    <w:p>
      <w:pPr>
        <w:pStyle w:val="ListParagraph"/>
        <w:numPr>
          <w:ilvl w:val="0"/>
          <w:numId w:val="2"/>
        </w:numPr>
        <w:spacing w:after="90" w:line="276"/>
      </w:pPr>
      <w:r>
        <w:rPr>
          <w:rFonts w:ascii="Calibri" w:cs="Calibri" w:eastAsia="Calibri" w:hAnsi="Calibri"/>
          <w:sz w:val="22"/>
          <w:szCs w:val="22"/>
        </w:rPr>
        <w:t xml:space="preserve">The Compliance Engine is the kitchen — the part that actually does the cooking, out of sight.</w:t>
      </w:r>
    </w:p>
    <w:p>
      <w:pPr>
        <w:pStyle w:val="ListParagraph"/>
        <w:numPr>
          <w:ilvl w:val="0"/>
          <w:numId w:val="2"/>
        </w:numPr>
        <w:spacing w:after="90" w:line="276"/>
      </w:pPr>
      <w:r>
        <w:rPr>
          <w:rFonts w:ascii="Calibri" w:cs="Calibri" w:eastAsia="Calibri" w:hAnsi="Calibri"/>
          <w:sz w:val="22"/>
          <w:szCs w:val="22"/>
        </w:rPr>
        <w:t xml:space="preserve">The Rule-Authoring Tool is the recipe-development lab — where new recipes are carefully written, tested, and approved before they are ever allowed into the kitchen.</w:t>
      </w:r>
    </w:p>
    <w:p>
      <w:pPr>
        <w:spacing w:after="140" w:before="0" w:line="276"/>
      </w:pPr>
      <w:r>
        <w:rPr>
          <w:rFonts w:ascii="Calibri" w:cs="Calibri" w:eastAsia="Calibri" w:hAnsi="Calibri"/>
          <w:sz w:val="22"/>
          <w:szCs w:val="22"/>
        </w:rPr>
        <w:t xml:space="preserve">Applied to our platform, the three programs are:</w:t>
      </w:r>
    </w:p>
    <w:tbl>
      <w:tblPr>
        <w:tblW w:type="dxa" w:w="9360"/>
        <w:tblBorders>
          <w:top w:val="single" w:color="B7C3D9" w:sz="2"/>
          <w:left w:val="single" w:color="B7C3D9" w:sz="2"/>
          <w:bottom w:val="single" w:color="B7C3D9" w:sz="2"/>
          <w:right w:val="single" w:color="B7C3D9" w:sz="2"/>
          <w:insideH w:val="single" w:color="B7C3D9" w:sz="2"/>
          <w:insideV w:val="single" w:color="B7C3D9" w:sz="2"/>
        </w:tblBorders>
      </w:tblPr>
      <w:tblGrid>
        <w:gridCol w:w="2600"/>
        <w:gridCol w:w="6760"/>
      </w:tblGrid>
      <w:tr>
        <w:trPr>
          <w:tblHeader/>
        </w:trPr>
        <w:tc>
          <w:tcPr>
            <w:tcW w:type="dxa" w:w="260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System</w:t>
            </w:r>
          </w:p>
        </w:tc>
        <w:tc>
          <w:tcPr>
            <w:tcW w:type="dxa" w:w="676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What it is</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The Portal</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The website that people log into and use. It displays the compliance screens and results, but it does very little of the actual calculation itself.</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The Compliance Engine</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The behind-the-scenes program that does the real work: it runs the rules against a fund's data and produces the results and reports.</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The Rule-Authoring Tool</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A separate desktop application, used by the compliance team, where the rules themselves are written, reviewed, approved, and released.</w:t>
            </w:r>
          </w:p>
        </w:tc>
      </w:tr>
    </w:tbl>
    <w:p>
      <w:pPr>
        <w:spacing w:after="140" w:before="60" w:line="276"/>
      </w:pPr>
      <w:r>
        <w:rPr>
          <w:rFonts w:ascii="Calibri" w:cs="Calibri" w:eastAsia="Calibri" w:hAnsi="Calibri"/>
          <w:sz w:val="22"/>
          <w:szCs w:val="22"/>
        </w:rPr>
        <w:t xml:space="preserve">The flow between them is easy to remember:</w:t>
      </w:r>
    </w:p>
    <w:p>
      <w:pPr>
        <w:spacing w:after="140" w:before="0" w:line="276"/>
      </w:pPr>
      <w:r>
        <w:rPr>
          <w:rFonts w:ascii="Calibri" w:cs="Calibri" w:eastAsia="Calibri" w:hAnsi="Calibri"/>
          <w:b/>
          <w:bCs/>
          <w:color w:val="1F3864"/>
          <w:sz w:val="22"/>
          <w:szCs w:val="22"/>
        </w:rPr>
        <w:t xml:space="preserve">Rules are written  </w:t>
      </w:r>
      <w:r>
        <w:rPr>
          <w:rFonts w:ascii="Calibri" w:cs="Calibri" w:eastAsia="Calibri" w:hAnsi="Calibri"/>
          <w:color w:val="2E5496"/>
          <w:sz w:val="22"/>
          <w:szCs w:val="22"/>
        </w:rPr>
        <w:t xml:space="preserve">→</w:t>
      </w:r>
      <w:r>
        <w:rPr>
          <w:rFonts w:ascii="Calibri" w:cs="Calibri" w:eastAsia="Calibri" w:hAnsi="Calibri"/>
          <w:b/>
          <w:bCs/>
          <w:color w:val="1F3864"/>
          <w:sz w:val="22"/>
          <w:szCs w:val="22"/>
        </w:rPr>
        <w:t xml:space="preserve">  the Engine runs those rules  </w:t>
      </w:r>
      <w:r>
        <w:rPr>
          <w:rFonts w:ascii="Calibri" w:cs="Calibri" w:eastAsia="Calibri" w:hAnsi="Calibri"/>
          <w:color w:val="2E5496"/>
          <w:sz w:val="22"/>
          <w:szCs w:val="22"/>
        </w:rPr>
        <w:t xml:space="preserve">→</w:t>
      </w:r>
      <w:r>
        <w:rPr>
          <w:rFonts w:ascii="Calibri" w:cs="Calibri" w:eastAsia="Calibri" w:hAnsi="Calibri"/>
          <w:b/>
          <w:bCs/>
          <w:color w:val="1F3864"/>
          <w:sz w:val="22"/>
          <w:szCs w:val="22"/>
        </w:rPr>
        <w:t xml:space="preserve">  the Portal shows the results.</w:t>
      </w:r>
    </w:p>
    <w:tbl>
      <w:tblPr>
        <w:tblW w:type="dxa" w:w="9360"/>
        <w:tblBorders>
          <w:top w:val="single" w:color="2E5496" w:sz="4"/>
          <w:left w:val="single" w:color="2E5496" w:sz="18"/>
          <w:bottom w:val="single" w:color="2E5496" w:sz="4"/>
          <w:right w:val="single" w:color="2E5496" w:sz="4"/>
          <w:insideH w:val="none"/>
          <w:insideV w:val="none"/>
        </w:tblBorders>
      </w:tblPr>
      <w:tblGrid>
        <w:gridCol w:w="9360"/>
      </w:tblGrid>
      <w:tr>
        <w:tc>
          <w:tcPr>
            <w:tcW w:type="dxa" w:w="9360"/>
            <w:shd w:fill="EEF2FA" w:color="auto" w:val="clear"/>
            <w:tcMar>
              <w:top w:type="dxa" w:w="140"/>
              <w:left w:type="dxa" w:w="200"/>
              <w:bottom w:type="dxa" w:w="140"/>
              <w:right w:type="dxa" w:w="200"/>
            </w:tcMar>
          </w:tcPr>
          <w:p>
            <w:pPr>
              <w:spacing w:line="276"/>
            </w:pPr>
            <w:r>
              <w:rPr>
                <w:rFonts w:ascii="Calibri" w:cs="Calibri" w:eastAsia="Calibri" w:hAnsi="Calibri"/>
                <w:b/>
                <w:bCs/>
                <w:color w:val="1F3864"/>
                <w:sz w:val="22"/>
                <w:szCs w:val="22"/>
              </w:rPr>
              <w:t xml:space="preserve">In plain terms:  </w:t>
            </w:r>
            <w:r>
              <w:rPr>
                <w:rFonts w:ascii="Calibri" w:cs="Calibri" w:eastAsia="Calibri" w:hAnsi="Calibri"/>
                <w:color w:val="222222"/>
                <w:sz w:val="22"/>
                <w:szCs w:val="22"/>
              </w:rPr>
              <w:t xml:space="preserve">The single most important idea in this whole document: the part users click on (the Portal) is not the part that does the calculating (the Engine), and neither of those is the part where the rules are written (the Rule-Authoring Tool). Three jobs, three programs.</w:t>
            </w:r>
          </w:p>
        </w:tc>
      </w:tr>
    </w:tbl>
    <w:p>
      <w:pPr>
        <w:pStyle w:val="Heading1"/>
      </w:pPr>
      <w:r>
        <w:t xml:space="preserve">4. System One: The Portal (What Users See and Use)</w:t>
      </w:r>
    </w:p>
    <w:p>
      <w:pPr>
        <w:spacing w:after="140" w:before="0" w:line="276"/>
      </w:pPr>
      <w:r>
        <w:rPr>
          <w:rFonts w:ascii="Calibri" w:cs="Calibri" w:eastAsia="Calibri" w:hAnsi="Calibri"/>
          <w:sz w:val="22"/>
          <w:szCs w:val="22"/>
        </w:rPr>
        <w:t xml:space="preserve">The Portal is the main website for the investment firms we serve. Compliance is only one of the things it offers — the same portal also covers areas such as portfolio management, trading, reporting, and day-to-day operations. Think of it as a single control room with several departments, one of which is Compliance.</w:t>
      </w:r>
    </w:p>
    <w:p>
      <w:pPr>
        <w:pStyle w:val="Heading2"/>
      </w:pPr>
      <w:r>
        <w:t xml:space="preserve">It serves many firms from one system</w:t>
      </w:r>
    </w:p>
    <w:p>
      <w:pPr>
        <w:spacing w:after="140" w:before="0" w:line="276"/>
      </w:pPr>
      <w:r>
        <w:rPr>
          <w:rFonts w:ascii="Calibri" w:cs="Calibri" w:eastAsia="Calibri" w:hAnsi="Calibri"/>
          <w:sz w:val="22"/>
          <w:szCs w:val="22"/>
        </w:rPr>
        <w:t xml:space="preserve">The Portal is built to serve many client firms at once, while keeping each firm's experience separate. Each firm gets its own branding, its own menu of features, and its own view of the data. This is why two different firms can log into the “same” portal and yet see quite different screens: one firm might see the full set of tabs, while another sees only a handful, such as Compliance, Reporting, and Operations. What each person sees is controlled by their firm's settings and by their personal permissions.</w:t>
      </w:r>
    </w:p>
    <w:p>
      <w:pPr>
        <w:pStyle w:val="Heading2"/>
      </w:pPr>
      <w:r>
        <w:t xml:space="preserve">The Portal shows; it does not calculate</w:t>
      </w:r>
    </w:p>
    <w:p>
      <w:pPr>
        <w:spacing w:after="140" w:before="0" w:line="276"/>
      </w:pPr>
      <w:r>
        <w:rPr>
          <w:rFonts w:ascii="Calibri" w:cs="Calibri" w:eastAsia="Calibri" w:hAnsi="Calibri"/>
          <w:sz w:val="22"/>
          <w:szCs w:val="22"/>
        </w:rPr>
        <w:t xml:space="preserve">This is a subtle but important point. When a user opens a compliance screen, the Portal itself does not crunch the numbers. Instead, it asks the Compliance Engine to do the work and then displays whatever the Engine sends back. You can picture the Portal as a very capable receptionist: it knows exactly which specialist to call for each request, it presents the answer neatly, but it does not perform the specialist work itself.</w:t>
      </w:r>
    </w:p>
    <w:tbl>
      <w:tblPr>
        <w:tblW w:type="dxa" w:w="9360"/>
        <w:tblBorders>
          <w:top w:val="single" w:color="2E5496" w:sz="4"/>
          <w:left w:val="single" w:color="2E5496" w:sz="18"/>
          <w:bottom w:val="single" w:color="2E5496" w:sz="4"/>
          <w:right w:val="single" w:color="2E5496" w:sz="4"/>
          <w:insideH w:val="none"/>
          <w:insideV w:val="none"/>
        </w:tblBorders>
      </w:tblPr>
      <w:tblGrid>
        <w:gridCol w:w="9360"/>
      </w:tblGrid>
      <w:tr>
        <w:tc>
          <w:tcPr>
            <w:tcW w:type="dxa" w:w="9360"/>
            <w:shd w:fill="EEF2FA" w:color="auto" w:val="clear"/>
            <w:tcMar>
              <w:top w:type="dxa" w:w="140"/>
              <w:left w:type="dxa" w:w="200"/>
              <w:bottom w:type="dxa" w:w="140"/>
              <w:right w:type="dxa" w:w="200"/>
            </w:tcMar>
          </w:tcPr>
          <w:p>
            <w:pPr>
              <w:spacing w:line="276"/>
            </w:pPr>
            <w:r>
              <w:rPr>
                <w:rFonts w:ascii="Calibri" w:cs="Calibri" w:eastAsia="Calibri" w:hAnsi="Calibri"/>
                <w:b/>
                <w:bCs/>
                <w:color w:val="1F3864"/>
                <w:sz w:val="22"/>
                <w:szCs w:val="22"/>
              </w:rPr>
              <w:t xml:space="preserve">In plain terms:  </w:t>
            </w:r>
            <w:r>
              <w:rPr>
                <w:rFonts w:ascii="Calibri" w:cs="Calibri" w:eastAsia="Calibri" w:hAnsi="Calibri"/>
                <w:color w:val="222222"/>
                <w:sz w:val="22"/>
                <w:szCs w:val="22"/>
              </w:rPr>
              <w:t xml:space="preserve">The Portal is the window into the system. It organises the screens, checks who is allowed to see what, and presents results clearly — but the heavy lifting happens elsewhere, in the Engine.</w:t>
            </w:r>
          </w:p>
        </w:tc>
      </w:tr>
    </w:tbl>
    <w:p>
      <w:pPr>
        <w:pStyle w:val="Heading1"/>
      </w:pPr>
      <w:r>
        <w:t xml:space="preserve">5. System Two: The Compliance Engine (Where the Work Happens)</w:t>
      </w:r>
    </w:p>
    <w:p>
      <w:pPr>
        <w:spacing w:after="140" w:before="0" w:line="276"/>
      </w:pPr>
      <w:r>
        <w:rPr>
          <w:rFonts w:ascii="Calibri" w:cs="Calibri" w:eastAsia="Calibri" w:hAnsi="Calibri"/>
          <w:sz w:val="22"/>
          <w:szCs w:val="22"/>
        </w:rPr>
        <w:t xml:space="preserve">The Compliance Engine is the workhorse of the platform. When the Portal needs a compliance result, this is the program that produces it. Its official internal name is CLOCompliance, and it is worth remembering that name, because it becomes important later in the section on naming.</w:t>
      </w:r>
    </w:p>
    <w:p>
      <w:pPr>
        <w:spacing w:after="140" w:before="0" w:line="276"/>
      </w:pPr>
      <w:r>
        <w:rPr>
          <w:rFonts w:ascii="Calibri" w:cs="Calibri" w:eastAsia="Calibri" w:hAnsi="Calibri"/>
          <w:sz w:val="22"/>
          <w:szCs w:val="22"/>
        </w:rPr>
        <w:t xml:space="preserve">The Engine's job is to take a fund's current information, apply that fund's specific rules, and return clear answers. The main kinds of work it performs are:</w:t>
      </w:r>
    </w:p>
    <w:tbl>
      <w:tblPr>
        <w:tblW w:type="dxa" w:w="9360"/>
        <w:tblBorders>
          <w:top w:val="single" w:color="B7C3D9" w:sz="2"/>
          <w:left w:val="single" w:color="B7C3D9" w:sz="2"/>
          <w:bottom w:val="single" w:color="B7C3D9" w:sz="2"/>
          <w:right w:val="single" w:color="B7C3D9" w:sz="2"/>
          <w:insideH w:val="single" w:color="B7C3D9" w:sz="2"/>
          <w:insideV w:val="single" w:color="B7C3D9" w:sz="2"/>
        </w:tblBorders>
      </w:tblPr>
      <w:tblGrid>
        <w:gridCol w:w="2600"/>
        <w:gridCol w:w="6760"/>
      </w:tblGrid>
      <w:tr>
        <w:trPr>
          <w:tblHeader/>
        </w:trPr>
        <w:tc>
          <w:tcPr>
            <w:tcW w:type="dxa" w:w="260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What the Engine does</w:t>
            </w:r>
          </w:p>
        </w:tc>
        <w:tc>
          <w:tcPr>
            <w:tcW w:type="dxa" w:w="676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In plain terms</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Indenture tests</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Pass-or-fail checks against the fund's rules — for example, whether the fund is within its industry concentration limit or is meeting a required coverage ratio.</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Waterfalls</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Working out the correct order in which the fund's cash is paid out to the different parties, according to the fund's agreed priority.</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Borrowing base</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Calculating how much of the fund's collateral counts as eligible and at what value, which drives how much can be borrowed against it.</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Scenarios and “hypos”</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“What-if” analysis — checking what would happen to compliance if a proposed trade or change were made, before it is actually done.</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Reports</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Producing polished PDF and Excel documents summarising the results, ready to be reviewed, shared, or emailed.</w:t>
            </w:r>
          </w:p>
        </w:tc>
      </w:tr>
    </w:tbl>
    <w:p>
      <w:pPr>
        <w:pStyle w:val="Heading2"/>
      </w:pPr>
      <w:r>
        <w:t xml:space="preserve">Where the Engine gets its information</w:t>
      </w:r>
    </w:p>
    <w:p>
      <w:pPr>
        <w:spacing w:after="140" w:before="0" w:line="276"/>
      </w:pPr>
      <w:r>
        <w:rPr>
          <w:rFonts w:ascii="Calibri" w:cs="Calibri" w:eastAsia="Calibri" w:hAnsi="Calibri"/>
          <w:sz w:val="22"/>
          <w:szCs w:val="22"/>
        </w:rPr>
        <w:t xml:space="preserve">To do its work, the Engine draws on two things: the fund's current data (its holdings and figures) and the set of approved rules for that fund. Both of these live in a central compliance database. The Engine reads what it needs from there each time it runs, which is what allows the same rules to be applied consistently, again and again.</w:t>
      </w:r>
    </w:p>
    <w:p>
      <w:pPr>
        <w:pStyle w:val="Heading2"/>
      </w:pPr>
      <w:r>
        <w:t xml:space="preserve">The Portal is not its only customer</w:t>
      </w:r>
    </w:p>
    <w:p>
      <w:pPr>
        <w:spacing w:after="140" w:before="0" w:line="276"/>
      </w:pPr>
      <w:r>
        <w:rPr>
          <w:rFonts w:ascii="Calibri" w:cs="Calibri" w:eastAsia="Calibri" w:hAnsi="Calibri"/>
          <w:sz w:val="22"/>
          <w:szCs w:val="22"/>
        </w:rPr>
        <w:t xml:space="preserve">Although the Portal is the most visible user of the Engine, it is not the only one. Other parts of the wider platform — such as trading systems and automated scheduled jobs that run reports overnight — also call on the same Engine. This is efficient: the rules and calculations live in one place, so every part of the business gets the same consistent answers.</w:t>
      </w:r>
    </w:p>
    <w:p>
      <w:pPr>
        <w:pStyle w:val="Heading1"/>
      </w:pPr>
      <w:r>
        <w:t xml:space="preserve">6. System Three: The Rule-Authoring Tool (Where the Rules Are Written)</w:t>
      </w:r>
    </w:p>
    <w:p>
      <w:pPr>
        <w:spacing w:after="140" w:before="0" w:line="276"/>
      </w:pPr>
      <w:r>
        <w:rPr>
          <w:rFonts w:ascii="Calibri" w:cs="Calibri" w:eastAsia="Calibri" w:hAnsi="Calibri"/>
          <w:sz w:val="22"/>
          <w:szCs w:val="22"/>
        </w:rPr>
        <w:t xml:space="preserve">The third system is the Rule-Authoring Tool, known internally as the Compliance Rules Editor. Unlike the Portal, this is not a website — it is a desktop application installed on the computers of the specialist compliance team who write the rules. It is deliberately kept separate from the Portal, and ordinary Portal users never see it.</w:t>
      </w:r>
    </w:p>
    <w:p>
      <w:pPr>
        <w:pStyle w:val="Heading2"/>
      </w:pPr>
      <w:r>
        <w:t xml:space="preserve">Why the rules need a careful process</w:t>
      </w:r>
    </w:p>
    <w:p>
      <w:pPr>
        <w:spacing w:after="140" w:before="0" w:line="276"/>
      </w:pPr>
      <w:r>
        <w:rPr>
          <w:rFonts w:ascii="Calibri" w:cs="Calibri" w:eastAsia="Calibri" w:hAnsi="Calibri"/>
          <w:sz w:val="22"/>
          <w:szCs w:val="22"/>
        </w:rPr>
        <w:t xml:space="preserve">The rules are the heart of the whole system — if a rule is wrong, every result that depends on it is wrong. Because of this, rules are not simply typed in and switched on. Each rule (or set of rules) moves through a controlled sequence of stages before it can affect any live result:</w:t>
      </w:r>
    </w:p>
    <w:tbl>
      <w:tblPr>
        <w:tblW w:type="dxa" w:w="9360"/>
        <w:tblBorders>
          <w:top w:val="single" w:color="B7C3D9" w:sz="2"/>
          <w:left w:val="single" w:color="B7C3D9" w:sz="2"/>
          <w:bottom w:val="single" w:color="B7C3D9" w:sz="2"/>
          <w:right w:val="single" w:color="B7C3D9" w:sz="2"/>
          <w:insideH w:val="single" w:color="B7C3D9" w:sz="2"/>
          <w:insideV w:val="single" w:color="B7C3D9" w:sz="2"/>
        </w:tblBorders>
      </w:tblPr>
      <w:tblGrid>
        <w:gridCol w:w="2600"/>
        <w:gridCol w:w="6760"/>
      </w:tblGrid>
      <w:tr>
        <w:trPr>
          <w:tblHeader/>
        </w:trPr>
        <w:tc>
          <w:tcPr>
            <w:tcW w:type="dxa" w:w="260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Stage</w:t>
            </w:r>
          </w:p>
        </w:tc>
        <w:tc>
          <w:tcPr>
            <w:tcW w:type="dxa" w:w="676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What happens</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Draft</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A rule author writes or edits the rule. Nothing is live yet; this is the working stage.</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Pending Approval</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The finished draft is submitted and waits for a reviewer to examine it.</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Approved</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A reviewer has checked the rule and confirmed it is correct and ready.</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Deployed</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The approved rule is released into the live environment, where the Engine can then use it.</w:t>
            </w:r>
          </w:p>
        </w:tc>
      </w:tr>
    </w:tbl>
    <w:p>
      <w:pPr>
        <w:spacing w:after="140" w:before="0" w:line="276"/>
      </w:pPr>
      <w:r>
        <w:rPr>
          <w:rFonts w:ascii="Calibri" w:cs="Calibri" w:eastAsia="Calibri" w:hAnsi="Calibri"/>
          <w:sz w:val="22"/>
          <w:szCs w:val="22"/>
        </w:rPr>
        <w:t xml:space="preserve">This staged approach is a form of governance often described as “four-eyes” — the person who writes a rule is not the only person who signs it off. It provides a clear, auditable trail showing who wrote each rule, who approved it, and when it went live. There are also separate versions of the live environment (for testing and for production), so a new rule can be proven safe before it reaches the real, in-use system.</w:t>
      </w:r>
    </w:p>
    <w:p>
      <w:pPr>
        <w:pStyle w:val="Heading2"/>
      </w:pPr>
      <w:r>
        <w:t xml:space="preserve">How the rules reach the Engine</w:t>
      </w:r>
    </w:p>
    <w:p>
      <w:pPr>
        <w:spacing w:after="140" w:before="0" w:line="276"/>
      </w:pPr>
      <w:r>
        <w:rPr>
          <w:rFonts w:ascii="Calibri" w:cs="Calibri" w:eastAsia="Calibri" w:hAnsi="Calibri"/>
          <w:sz w:val="22"/>
          <w:szCs w:val="22"/>
        </w:rPr>
        <w:t xml:space="preserve">Once a rule is approved and deployed, it is placed into the central compliance database. From that point on, the Engine simply reads and applies it like any other rule. Importantly, this happens without going through the Portal at all — the Rule-Authoring Tool and the Portal do not talk to each other directly. The database is the shared meeting point: the Rule-Authoring Tool writes rules into it, and the Engine reads rules out of it.</w:t>
      </w:r>
    </w:p>
    <w:tbl>
      <w:tblPr>
        <w:tblW w:type="dxa" w:w="9360"/>
        <w:tblBorders>
          <w:top w:val="single" w:color="2E5496" w:sz="4"/>
          <w:left w:val="single" w:color="2E5496" w:sz="18"/>
          <w:bottom w:val="single" w:color="2E5496" w:sz="4"/>
          <w:right w:val="single" w:color="2E5496" w:sz="4"/>
          <w:insideH w:val="none"/>
          <w:insideV w:val="none"/>
        </w:tblBorders>
      </w:tblPr>
      <w:tblGrid>
        <w:gridCol w:w="9360"/>
      </w:tblGrid>
      <w:tr>
        <w:tc>
          <w:tcPr>
            <w:tcW w:type="dxa" w:w="9360"/>
            <w:shd w:fill="EEF2FA" w:color="auto" w:val="clear"/>
            <w:tcMar>
              <w:top w:type="dxa" w:w="140"/>
              <w:left w:type="dxa" w:w="200"/>
              <w:bottom w:type="dxa" w:w="140"/>
              <w:right w:type="dxa" w:w="200"/>
            </w:tcMar>
          </w:tcPr>
          <w:p>
            <w:pPr>
              <w:spacing w:line="276"/>
            </w:pPr>
            <w:r>
              <w:rPr>
                <w:rFonts w:ascii="Calibri" w:cs="Calibri" w:eastAsia="Calibri" w:hAnsi="Calibri"/>
                <w:b/>
                <w:bCs/>
                <w:color w:val="1F3864"/>
                <w:sz w:val="22"/>
                <w:szCs w:val="22"/>
              </w:rPr>
              <w:t xml:space="preserve">In plain terms:  </w:t>
            </w:r>
            <w:r>
              <w:rPr>
                <w:rFonts w:ascii="Calibri" w:cs="Calibri" w:eastAsia="Calibri" w:hAnsi="Calibri"/>
                <w:color w:val="222222"/>
                <w:sz w:val="22"/>
                <w:szCs w:val="22"/>
              </w:rPr>
              <w:t xml:space="preserve">Rule-Authoring Tool writes the rules. The Engine runs the rules. The Portal shows the results. Each program stays in its own lane, and the database is where the rules are handed over from one stage to the next.</w:t>
            </w:r>
          </w:p>
        </w:tc>
      </w:tr>
    </w:tbl>
    <w:p>
      <w:pPr>
        <w:pStyle w:val="Heading1"/>
      </w:pPr>
      <w:r>
        <w:t xml:space="preserve">7. How a Real Task Flows Through the System</w:t>
      </w:r>
    </w:p>
    <w:p>
      <w:pPr>
        <w:spacing w:after="140" w:before="0" w:line="276"/>
      </w:pPr>
      <w:r>
        <w:rPr>
          <w:rFonts w:ascii="Calibri" w:cs="Calibri" w:eastAsia="Calibri" w:hAnsi="Calibri"/>
          <w:sz w:val="22"/>
          <w:szCs w:val="22"/>
        </w:rPr>
        <w:t xml:space="preserve">The clearest way to see the three systems cooperating is to follow a few everyday journeys from start to finish.</w:t>
      </w:r>
    </w:p>
    <w:p>
      <w:pPr>
        <w:pStyle w:val="Heading2"/>
      </w:pPr>
      <w:r>
        <w:t xml:space="preserve">Journey A: Introducing a new rule</w:t>
      </w:r>
    </w:p>
    <w:p>
      <w:pPr>
        <w:pStyle w:val="ListParagraph"/>
        <w:numPr>
          <w:ilvl w:val="0"/>
          <w:numId w:val="3"/>
        </w:numPr>
        <w:spacing w:after="90" w:line="276"/>
      </w:pPr>
      <w:r>
        <w:rPr>
          <w:rFonts w:ascii="Calibri" w:cs="Calibri" w:eastAsia="Calibri" w:hAnsi="Calibri"/>
          <w:sz w:val="22"/>
          <w:szCs w:val="22"/>
        </w:rPr>
        <w:t xml:space="preserve">A rule author on the compliance team opens the Rule-Authoring Tool and writes the new rule.</w:t>
      </w:r>
    </w:p>
    <w:p>
      <w:pPr>
        <w:pStyle w:val="ListParagraph"/>
        <w:numPr>
          <w:ilvl w:val="0"/>
          <w:numId w:val="3"/>
        </w:numPr>
        <w:spacing w:after="90" w:line="276"/>
      </w:pPr>
      <w:r>
        <w:rPr>
          <w:rFonts w:ascii="Calibri" w:cs="Calibri" w:eastAsia="Calibri" w:hAnsi="Calibri"/>
          <w:sz w:val="22"/>
          <w:szCs w:val="22"/>
        </w:rPr>
        <w:t xml:space="preserve">The draft is submitted and waits for review (Pending Approval).</w:t>
      </w:r>
    </w:p>
    <w:p>
      <w:pPr>
        <w:pStyle w:val="ListParagraph"/>
        <w:numPr>
          <w:ilvl w:val="0"/>
          <w:numId w:val="3"/>
        </w:numPr>
        <w:spacing w:after="90" w:line="276"/>
      </w:pPr>
      <w:r>
        <w:rPr>
          <w:rFonts w:ascii="Calibri" w:cs="Calibri" w:eastAsia="Calibri" w:hAnsi="Calibri"/>
          <w:sz w:val="22"/>
          <w:szCs w:val="22"/>
        </w:rPr>
        <w:t xml:space="preserve">A reviewer checks it and marks it Approved.</w:t>
      </w:r>
    </w:p>
    <w:p>
      <w:pPr>
        <w:pStyle w:val="ListParagraph"/>
        <w:numPr>
          <w:ilvl w:val="0"/>
          <w:numId w:val="3"/>
        </w:numPr>
        <w:spacing w:after="90" w:line="276"/>
      </w:pPr>
      <w:r>
        <w:rPr>
          <w:rFonts w:ascii="Calibri" w:cs="Calibri" w:eastAsia="Calibri" w:hAnsi="Calibri"/>
          <w:sz w:val="22"/>
          <w:szCs w:val="22"/>
        </w:rPr>
        <w:t xml:space="preserve">The approved rule is deployed into the compliance database.</w:t>
      </w:r>
    </w:p>
    <w:p>
      <w:pPr>
        <w:pStyle w:val="ListParagraph"/>
        <w:numPr>
          <w:ilvl w:val="0"/>
          <w:numId w:val="3"/>
        </w:numPr>
        <w:spacing w:after="90" w:line="276"/>
      </w:pPr>
      <w:r>
        <w:rPr>
          <w:rFonts w:ascii="Calibri" w:cs="Calibri" w:eastAsia="Calibri" w:hAnsi="Calibri"/>
          <w:sz w:val="22"/>
          <w:szCs w:val="22"/>
        </w:rPr>
        <w:t xml:space="preserve">From now on, whenever the Engine runs, it automatically applies the new rule — no further action needed.</w:t>
      </w:r>
    </w:p>
    <w:p>
      <w:pPr>
        <w:pStyle w:val="Heading2"/>
      </w:pPr>
      <w:r>
        <w:t xml:space="preserve">Journey B: A compliance officer checks a fund</w:t>
      </w:r>
    </w:p>
    <w:p>
      <w:pPr>
        <w:pStyle w:val="ListParagraph"/>
        <w:numPr>
          <w:ilvl w:val="0"/>
          <w:numId w:val="3"/>
        </w:numPr>
        <w:spacing w:after="90" w:line="276"/>
      </w:pPr>
      <w:r>
        <w:rPr>
          <w:rFonts w:ascii="Calibri" w:cs="Calibri" w:eastAsia="Calibri" w:hAnsi="Calibri"/>
          <w:sz w:val="22"/>
          <w:szCs w:val="22"/>
        </w:rPr>
        <w:t xml:space="preserve">The officer logs into the Portal and opens the Compliance area for their fund.</w:t>
      </w:r>
    </w:p>
    <w:p>
      <w:pPr>
        <w:pStyle w:val="ListParagraph"/>
        <w:numPr>
          <w:ilvl w:val="0"/>
          <w:numId w:val="3"/>
        </w:numPr>
        <w:spacing w:after="90" w:line="276"/>
      </w:pPr>
      <w:r>
        <w:rPr>
          <w:rFonts w:ascii="Calibri" w:cs="Calibri" w:eastAsia="Calibri" w:hAnsi="Calibri"/>
          <w:sz w:val="22"/>
          <w:szCs w:val="22"/>
        </w:rPr>
        <w:t xml:space="preserve">The Portal asks the Engine for that fund's current compliance results.</w:t>
      </w:r>
    </w:p>
    <w:p>
      <w:pPr>
        <w:pStyle w:val="ListParagraph"/>
        <w:numPr>
          <w:ilvl w:val="0"/>
          <w:numId w:val="3"/>
        </w:numPr>
        <w:spacing w:after="90" w:line="276"/>
      </w:pPr>
      <w:r>
        <w:rPr>
          <w:rFonts w:ascii="Calibri" w:cs="Calibri" w:eastAsia="Calibri" w:hAnsi="Calibri"/>
          <w:sz w:val="22"/>
          <w:szCs w:val="22"/>
        </w:rPr>
        <w:t xml:space="preserve">The Engine gathers the fund's data and its approved rules from the database, runs the checks, and calculates the outcomes.</w:t>
      </w:r>
    </w:p>
    <w:p>
      <w:pPr>
        <w:pStyle w:val="ListParagraph"/>
        <w:numPr>
          <w:ilvl w:val="0"/>
          <w:numId w:val="3"/>
        </w:numPr>
        <w:spacing w:after="90" w:line="276"/>
      </w:pPr>
      <w:r>
        <w:rPr>
          <w:rFonts w:ascii="Calibri" w:cs="Calibri" w:eastAsia="Calibri" w:hAnsi="Calibri"/>
          <w:sz w:val="22"/>
          <w:szCs w:val="22"/>
        </w:rPr>
        <w:t xml:space="preserve">The Engine sends the results back, and the Portal displays a clear summary of what passed and what failed.</w:t>
      </w:r>
    </w:p>
    <w:p>
      <w:pPr>
        <w:pStyle w:val="ListParagraph"/>
        <w:numPr>
          <w:ilvl w:val="0"/>
          <w:numId w:val="3"/>
        </w:numPr>
        <w:spacing w:after="90" w:line="276"/>
      </w:pPr>
      <w:r>
        <w:rPr>
          <w:rFonts w:ascii="Calibri" w:cs="Calibri" w:eastAsia="Calibri" w:hAnsi="Calibri"/>
          <w:sz w:val="22"/>
          <w:szCs w:val="22"/>
        </w:rPr>
        <w:t xml:space="preserve">If the officer wants a formal record, they request a report, and the Engine produces a PDF or Excel file.</w:t>
      </w:r>
    </w:p>
    <w:p>
      <w:pPr>
        <w:pStyle w:val="Heading2"/>
      </w:pPr>
      <w:r>
        <w:t xml:space="preserve">Journey C: Testing a trade before making it</w:t>
      </w:r>
    </w:p>
    <w:p>
      <w:pPr>
        <w:pStyle w:val="ListParagraph"/>
        <w:numPr>
          <w:ilvl w:val="0"/>
          <w:numId w:val="3"/>
        </w:numPr>
        <w:spacing w:after="90" w:line="276"/>
      </w:pPr>
      <w:r>
        <w:rPr>
          <w:rFonts w:ascii="Calibri" w:cs="Calibri" w:eastAsia="Calibri" w:hAnsi="Calibri"/>
          <w:sz w:val="22"/>
          <w:szCs w:val="22"/>
        </w:rPr>
        <w:t xml:space="preserve">Before placing a trade, a user opens a “what-if” (scenario or hypo) screen in the Portal.</w:t>
      </w:r>
    </w:p>
    <w:p>
      <w:pPr>
        <w:pStyle w:val="ListParagraph"/>
        <w:numPr>
          <w:ilvl w:val="0"/>
          <w:numId w:val="3"/>
        </w:numPr>
        <w:spacing w:after="90" w:line="276"/>
      </w:pPr>
      <w:r>
        <w:rPr>
          <w:rFonts w:ascii="Calibri" w:cs="Calibri" w:eastAsia="Calibri" w:hAnsi="Calibri"/>
          <w:sz w:val="22"/>
          <w:szCs w:val="22"/>
        </w:rPr>
        <w:t xml:space="preserve">They describe the proposed trade or change.</w:t>
      </w:r>
    </w:p>
    <w:p>
      <w:pPr>
        <w:pStyle w:val="ListParagraph"/>
        <w:numPr>
          <w:ilvl w:val="0"/>
          <w:numId w:val="3"/>
        </w:numPr>
        <w:spacing w:after="90" w:line="276"/>
      </w:pPr>
      <w:r>
        <w:rPr>
          <w:rFonts w:ascii="Calibri" w:cs="Calibri" w:eastAsia="Calibri" w:hAnsi="Calibri"/>
          <w:sz w:val="22"/>
          <w:szCs w:val="22"/>
        </w:rPr>
        <w:t xml:space="preserve">The Engine runs the compliance checks as if that change had already happened.</w:t>
      </w:r>
    </w:p>
    <w:p>
      <w:pPr>
        <w:pStyle w:val="ListParagraph"/>
        <w:numPr>
          <w:ilvl w:val="0"/>
          <w:numId w:val="3"/>
        </w:numPr>
        <w:spacing w:after="90" w:line="276"/>
      </w:pPr>
      <w:r>
        <w:rPr>
          <w:rFonts w:ascii="Calibri" w:cs="Calibri" w:eastAsia="Calibri" w:hAnsi="Calibri"/>
          <w:sz w:val="22"/>
          <w:szCs w:val="22"/>
        </w:rPr>
        <w:t xml:space="preserve">The user sees whether the trade would keep the fund compliant — and can decide accordingly, before committing to anything.</w:t>
      </w:r>
    </w:p>
    <w:tbl>
      <w:tblPr>
        <w:tblW w:type="dxa" w:w="9360"/>
        <w:tblBorders>
          <w:top w:val="single" w:color="2E5496" w:sz="4"/>
          <w:left w:val="single" w:color="2E5496" w:sz="18"/>
          <w:bottom w:val="single" w:color="2E5496" w:sz="4"/>
          <w:right w:val="single" w:color="2E5496" w:sz="4"/>
          <w:insideH w:val="none"/>
          <w:insideV w:val="none"/>
        </w:tblBorders>
      </w:tblPr>
      <w:tblGrid>
        <w:gridCol w:w="9360"/>
      </w:tblGrid>
      <w:tr>
        <w:tc>
          <w:tcPr>
            <w:tcW w:type="dxa" w:w="9360"/>
            <w:shd w:fill="EEF2FA" w:color="auto" w:val="clear"/>
            <w:tcMar>
              <w:top w:type="dxa" w:w="140"/>
              <w:left w:type="dxa" w:w="200"/>
              <w:bottom w:type="dxa" w:w="140"/>
              <w:right w:type="dxa" w:w="200"/>
            </w:tcMar>
          </w:tcPr>
          <w:p>
            <w:pPr>
              <w:spacing w:line="276"/>
            </w:pPr>
            <w:r>
              <w:rPr>
                <w:rFonts w:ascii="Calibri" w:cs="Calibri" w:eastAsia="Calibri" w:hAnsi="Calibri"/>
                <w:b/>
                <w:bCs/>
                <w:color w:val="1F3864"/>
                <w:sz w:val="22"/>
                <w:szCs w:val="22"/>
              </w:rPr>
              <w:t xml:space="preserve">In plain terms:  </w:t>
            </w:r>
            <w:r>
              <w:rPr>
                <w:rFonts w:ascii="Calibri" w:cs="Calibri" w:eastAsia="Calibri" w:hAnsi="Calibri"/>
                <w:color w:val="222222"/>
                <w:sz w:val="22"/>
                <w:szCs w:val="22"/>
              </w:rPr>
              <w:t xml:space="preserve">Notice that all three journeys rely on the same Engine and the same set of approved rules. That is what keeps every answer across the business consistent, whether it is a live check, a formal report, or a what-if test.</w:t>
            </w:r>
          </w:p>
        </w:tc>
      </w:tr>
    </w:tbl>
    <w:p>
      <w:pPr>
        <w:pStyle w:val="Heading1"/>
      </w:pPr>
      <w:r>
        <w:t xml:space="preserve">8. A Tour of the Compliance Screens</w:t>
      </w:r>
    </w:p>
    <w:p>
      <w:pPr>
        <w:spacing w:after="140" w:before="0" w:line="276"/>
      </w:pPr>
      <w:r>
        <w:rPr>
          <w:rFonts w:ascii="Calibri" w:cs="Calibri" w:eastAsia="Calibri" w:hAnsi="Calibri"/>
          <w:sz w:val="22"/>
          <w:szCs w:val="22"/>
        </w:rPr>
        <w:t xml:space="preserve">Within the Portal, the Compliance area is organised into a set of screens. Rather than list them technically, it is easier to group them by the job they help with: everyday monitoring, deeper analysis, and behind-the-scenes setup.</w:t>
      </w:r>
    </w:p>
    <w:p>
      <w:pPr>
        <w:pStyle w:val="Heading2"/>
      </w:pPr>
      <w:r>
        <w:t xml:space="preserve">Everyday monitoring</w:t>
      </w:r>
    </w:p>
    <w:tbl>
      <w:tblPr>
        <w:tblW w:type="dxa" w:w="9360"/>
        <w:tblBorders>
          <w:top w:val="single" w:color="B7C3D9" w:sz="2"/>
          <w:left w:val="single" w:color="B7C3D9" w:sz="2"/>
          <w:bottom w:val="single" w:color="B7C3D9" w:sz="2"/>
          <w:right w:val="single" w:color="B7C3D9" w:sz="2"/>
          <w:insideH w:val="single" w:color="B7C3D9" w:sz="2"/>
          <w:insideV w:val="single" w:color="B7C3D9" w:sz="2"/>
        </w:tblBorders>
      </w:tblPr>
      <w:tblGrid>
        <w:gridCol w:w="2600"/>
        <w:gridCol w:w="6760"/>
      </w:tblGrid>
      <w:tr>
        <w:trPr>
          <w:tblHeader/>
        </w:trPr>
        <w:tc>
          <w:tcPr>
            <w:tcW w:type="dxa" w:w="260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Screen</w:t>
            </w:r>
          </w:p>
        </w:tc>
        <w:tc>
          <w:tcPr>
            <w:tcW w:type="dxa" w:w="676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What it is for</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Summary</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The main dashboard for a fund, showing at a glance which compliance checks are passing and which are failing.</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Fund Inputs</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Where users can enter or top up a fund's supporting data by hand when needed.</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Snapshots</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A frozen copy of a fund's data at a specific moment, so a result can be reproduced or revisited exactly as it was.</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Overrides</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A controlled way to manually adjust a specific value used in a calculation, when there is a valid reason to.</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Reports (PDF / Excel)</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Generate formal, shareable documents of the compliance results.</w:t>
            </w:r>
          </w:p>
        </w:tc>
      </w:tr>
    </w:tbl>
    <w:p>
      <w:pPr>
        <w:pStyle w:val="Heading2"/>
      </w:pPr>
      <w:r>
        <w:t xml:space="preserve">Deeper analysis and comparison</w:t>
      </w:r>
    </w:p>
    <w:tbl>
      <w:tblPr>
        <w:tblW w:type="dxa" w:w="9360"/>
        <w:tblBorders>
          <w:top w:val="single" w:color="B7C3D9" w:sz="2"/>
          <w:left w:val="single" w:color="B7C3D9" w:sz="2"/>
          <w:bottom w:val="single" w:color="B7C3D9" w:sz="2"/>
          <w:right w:val="single" w:color="B7C3D9" w:sz="2"/>
          <w:insideH w:val="single" w:color="B7C3D9" w:sz="2"/>
          <w:insideV w:val="single" w:color="B7C3D9" w:sz="2"/>
        </w:tblBorders>
      </w:tblPr>
      <w:tblGrid>
        <w:gridCol w:w="2600"/>
        <w:gridCol w:w="6760"/>
      </w:tblGrid>
      <w:tr>
        <w:trPr>
          <w:tblHeader/>
        </w:trPr>
        <w:tc>
          <w:tcPr>
            <w:tcW w:type="dxa" w:w="260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Screen</w:t>
            </w:r>
          </w:p>
        </w:tc>
        <w:tc>
          <w:tcPr>
            <w:tcW w:type="dxa" w:w="676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What it is for</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Waterfalls</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Set up and review how a fund's cash is paid out in priority order.</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Trading Plan Hypos</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Test the compliance impact of a planned set of trades before they happen.</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Hypothetical Scenarios</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Broader “what-if” testing of possible portfolio changes.</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Multi-Fund Scenarios</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Run what-if analysis across several funds at once.</w:t>
            </w:r>
          </w:p>
        </w:tc>
      </w:tr>
    </w:tbl>
    <w:p>
      <w:pPr>
        <w:pStyle w:val="Heading2"/>
      </w:pPr>
      <w:r>
        <w:t xml:space="preserve">Setup and administration</w:t>
      </w:r>
    </w:p>
    <w:tbl>
      <w:tblPr>
        <w:tblW w:type="dxa" w:w="9360"/>
        <w:tblBorders>
          <w:top w:val="single" w:color="B7C3D9" w:sz="2"/>
          <w:left w:val="single" w:color="B7C3D9" w:sz="2"/>
          <w:bottom w:val="single" w:color="B7C3D9" w:sz="2"/>
          <w:right w:val="single" w:color="B7C3D9" w:sz="2"/>
          <w:insideH w:val="single" w:color="B7C3D9" w:sz="2"/>
          <w:insideV w:val="single" w:color="B7C3D9" w:sz="2"/>
        </w:tblBorders>
      </w:tblPr>
      <w:tblGrid>
        <w:gridCol w:w="2600"/>
        <w:gridCol w:w="6760"/>
      </w:tblGrid>
      <w:tr>
        <w:trPr>
          <w:tblHeader/>
        </w:trPr>
        <w:tc>
          <w:tcPr>
            <w:tcW w:type="dxa" w:w="260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Screen</w:t>
            </w:r>
          </w:p>
        </w:tc>
        <w:tc>
          <w:tcPr>
            <w:tcW w:type="dxa" w:w="676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What it is for</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Test Designer</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Decide which checks apply to which funds and set their thresholds. This is a setup screen inside the Portal — it is not where the underlying rule logic is written (that is the separate Rule-Authoring Tool).</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Fund Configuration</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Adjust the per-fund settings that tell the system how each fund should be treated.</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Email Distribution Lists</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Manage who automatically receives which reports by email.</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Borrowing Base Editor</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Adjust the borrowing-base model used in those calculations.</w:t>
            </w:r>
          </w:p>
        </w:tc>
      </w:tr>
    </w:tbl>
    <w:tbl>
      <w:tblPr>
        <w:tblW w:type="dxa" w:w="9360"/>
        <w:tblBorders>
          <w:top w:val="single" w:color="2E5496" w:sz="4"/>
          <w:left w:val="single" w:color="2E5496" w:sz="18"/>
          <w:bottom w:val="single" w:color="2E5496" w:sz="4"/>
          <w:right w:val="single" w:color="2E5496" w:sz="4"/>
          <w:insideH w:val="none"/>
          <w:insideV w:val="none"/>
        </w:tblBorders>
      </w:tblPr>
      <w:tblGrid>
        <w:gridCol w:w="9360"/>
      </w:tblGrid>
      <w:tr>
        <w:tc>
          <w:tcPr>
            <w:tcW w:type="dxa" w:w="9360"/>
            <w:shd w:fill="EEF2FA" w:color="auto" w:val="clear"/>
            <w:tcMar>
              <w:top w:type="dxa" w:w="140"/>
              <w:left w:type="dxa" w:w="200"/>
              <w:bottom w:type="dxa" w:w="140"/>
              <w:right w:type="dxa" w:w="200"/>
            </w:tcMar>
          </w:tcPr>
          <w:p>
            <w:pPr>
              <w:spacing w:line="276"/>
            </w:pPr>
            <w:r>
              <w:rPr>
                <w:rFonts w:ascii="Calibri" w:cs="Calibri" w:eastAsia="Calibri" w:hAnsi="Calibri"/>
                <w:b/>
                <w:bCs/>
                <w:color w:val="1F3864"/>
                <w:sz w:val="22"/>
                <w:szCs w:val="22"/>
              </w:rPr>
              <w:t xml:space="preserve">In plain terms:  </w:t>
            </w:r>
            <w:r>
              <w:rPr>
                <w:rFonts w:ascii="Calibri" w:cs="Calibri" w:eastAsia="Calibri" w:hAnsi="Calibri"/>
                <w:color w:val="222222"/>
                <w:sz w:val="22"/>
                <w:szCs w:val="22"/>
              </w:rPr>
              <w:t xml:space="preserve">A common point of confusion: the Portal's “Test Designer” and the separate “Rule-Authoring Tool” sound similar but do different jobs. Test Designer decides which tests apply to a fund and at what threshold. The Rule-Authoring Tool writes the actual calculation logic behind those tests. One chooses and configures; the other builds.</w:t>
            </w:r>
          </w:p>
        </w:tc>
      </w:tr>
    </w:tbl>
    <w:p>
      <w:pPr>
        <w:pStyle w:val="Heading1"/>
      </w:pPr>
      <w:r>
        <w:t xml:space="preserve">9. An Important Naming Clarification</w:t>
      </w:r>
    </w:p>
    <w:p>
      <w:pPr>
        <w:spacing w:after="140" w:before="0" w:line="276"/>
      </w:pPr>
      <w:r>
        <w:rPr>
          <w:rFonts w:ascii="Calibri" w:cs="Calibri" w:eastAsia="Calibri" w:hAnsi="Calibri"/>
          <w:sz w:val="22"/>
          <w:szCs w:val="22"/>
        </w:rPr>
        <w:t xml:space="preserve">There is one naming point that causes regular confusion and is worth stating plainly, especially if the original requirement or older documents mention a system called “DocCompliance.”</w:t>
      </w:r>
    </w:p>
    <w:tbl>
      <w:tblPr>
        <w:tblW w:type="dxa" w:w="9360"/>
        <w:tblBorders>
          <w:top w:val="single" w:color="B7C3D9" w:sz="2"/>
          <w:left w:val="single" w:color="B7C3D9" w:sz="2"/>
          <w:bottom w:val="single" w:color="B7C3D9" w:sz="2"/>
          <w:right w:val="single" w:color="B7C3D9" w:sz="2"/>
          <w:insideH w:val="single" w:color="B7C3D9" w:sz="2"/>
          <w:insideV w:val="single" w:color="B7C3D9" w:sz="2"/>
        </w:tblBorders>
      </w:tblPr>
      <w:tblGrid>
        <w:gridCol w:w="2600"/>
        <w:gridCol w:w="6760"/>
      </w:tblGrid>
      <w:tr>
        <w:trPr>
          <w:tblHeader/>
        </w:trPr>
        <w:tc>
          <w:tcPr>
            <w:tcW w:type="dxa" w:w="260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Name you may hear</w:t>
            </w:r>
          </w:p>
        </w:tc>
        <w:tc>
          <w:tcPr>
            <w:tcW w:type="dxa" w:w="676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What it actually is</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“CLOCompliance”</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This is the real Engine described throughout this document. It exists, and it does all the compliance work.</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“DocCompliance”</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There is no separate program by this name in the actual system. It is an older or external label. Wherever it appears, it should be understood to mean CLOCompliance.</w:t>
            </w:r>
          </w:p>
        </w:tc>
      </w:tr>
    </w:tbl>
    <w:p>
      <w:pPr>
        <w:spacing w:after="140" w:before="60" w:line="276"/>
      </w:pPr>
      <w:r>
        <w:rPr>
          <w:rFonts w:ascii="Calibri" w:cs="Calibri" w:eastAsia="Calibri" w:hAnsi="Calibri"/>
          <w:sz w:val="22"/>
          <w:szCs w:val="22"/>
        </w:rPr>
        <w:t xml:space="preserve">The practical takeaway is simple: if a request, ticket, or document refers to “DocCompliance,” it is almost certainly pointing at the CLOCompliance Engine (or the compliance screens in the Portal that rely on it) — not at a missing, separate system. Confirming this early avoids people searching for something that does not exist under that name.</w:t>
      </w:r>
    </w:p>
    <w:p>
      <w:pPr>
        <w:pStyle w:val="Heading1"/>
      </w:pPr>
      <w:r>
        <w:t xml:space="preserve">10. Key Terms Explained</w:t>
      </w:r>
    </w:p>
    <w:tbl>
      <w:tblPr>
        <w:tblW w:type="dxa" w:w="9360"/>
        <w:tblBorders>
          <w:top w:val="single" w:color="B7C3D9" w:sz="2"/>
          <w:left w:val="single" w:color="B7C3D9" w:sz="2"/>
          <w:bottom w:val="single" w:color="B7C3D9" w:sz="2"/>
          <w:right w:val="single" w:color="B7C3D9" w:sz="2"/>
          <w:insideH w:val="single" w:color="B7C3D9" w:sz="2"/>
          <w:insideV w:val="single" w:color="B7C3D9" w:sz="2"/>
        </w:tblBorders>
      </w:tblPr>
      <w:tblGrid>
        <w:gridCol w:w="2600"/>
        <w:gridCol w:w="6760"/>
      </w:tblGrid>
      <w:tr>
        <w:trPr>
          <w:tblHeader/>
        </w:trPr>
        <w:tc>
          <w:tcPr>
            <w:tcW w:type="dxa" w:w="260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Term</w:t>
            </w:r>
          </w:p>
        </w:tc>
        <w:tc>
          <w:tcPr>
            <w:tcW w:type="dxa" w:w="6760"/>
            <w:shd w:fill="1F3864" w:color="auto" w:val="clear"/>
            <w:tcMar>
              <w:top w:type="dxa" w:w="80"/>
              <w:left w:type="dxa" w:w="130"/>
              <w:bottom w:type="dxa" w:w="80"/>
              <w:right w:type="dxa" w:w="130"/>
            </w:tcMar>
          </w:tcPr>
          <w:p>
            <w:pPr>
              <w:spacing w:line="264"/>
            </w:pPr>
            <w:r>
              <w:rPr>
                <w:rFonts w:ascii="Calibri" w:cs="Calibri" w:eastAsia="Calibri" w:hAnsi="Calibri"/>
                <w:b/>
                <w:bCs/>
                <w:color w:val="FFFFFF"/>
                <w:sz w:val="20"/>
                <w:szCs w:val="20"/>
              </w:rPr>
              <w:t xml:space="preserve">Meaning</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CLO</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Collateralized Loan Obligation — a fund that pools many corporate loans and issues investment products backed by them. The main type of fund this platform serves.</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Indenture</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The legal agreement that sets out the rules a fund must follow.</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Indenture test</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A single pass-or-fail check that confirms a fund is following one of those rules.</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Rule (dynamic rule)</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A calculation or condition, written by the compliance team, that the Engine applies to a fund's data.</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Snapshot</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A frozen copy of a fund's data at a point in time, used so results can be reproduced exactly.</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Override</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A deliberate, controlled manual adjustment to a value used in a calculation.</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Waterfall</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The agreed order in which a fund's cash is paid out to different parties.</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Borrowing base</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A calculation of how much of a fund's collateral is eligible, and at what value.</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Scenario / Hypo</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A “what-if” test that checks the compliance impact of a change before it is made.</w:t>
            </w:r>
          </w:p>
        </w:tc>
      </w:tr>
      <w:tr>
        <w:tc>
          <w:tcPr>
            <w:tcW w:type="dxa" w:w="2600"/>
            <w:shd w:fill="FFFFFF" w:color="auto" w:val="clear"/>
            <w:tcMar>
              <w:top w:type="dxa" w:w="80"/>
              <w:left w:type="dxa" w:w="130"/>
              <w:bottom w:type="dxa" w:w="80"/>
              <w:right w:type="dxa" w:w="130"/>
            </w:tcMar>
          </w:tcPr>
          <w:p>
            <w:pPr>
              <w:spacing w:line="264"/>
            </w:pPr>
            <w:r>
              <w:rPr>
                <w:rFonts w:ascii="Calibri" w:cs="Calibri" w:eastAsia="Calibri" w:hAnsi="Calibri"/>
                <w:b/>
                <w:bCs/>
                <w:color w:val="222222"/>
                <w:sz w:val="20"/>
                <w:szCs w:val="20"/>
              </w:rPr>
              <w:t xml:space="preserve">Deploy</w:t>
            </w:r>
          </w:p>
        </w:tc>
        <w:tc>
          <w:tcPr>
            <w:tcW w:type="dxa" w:w="6760"/>
            <w:shd w:fill="FFFFFF" w:color="auto" w:val="clear"/>
            <w:tcMar>
              <w:top w:type="dxa" w:w="80"/>
              <w:left w:type="dxa" w:w="130"/>
              <w:bottom w:type="dxa" w:w="80"/>
              <w:right w:type="dxa" w:w="130"/>
            </w:tcMar>
          </w:tcPr>
          <w:p>
            <w:pPr>
              <w:spacing w:line="264"/>
            </w:pPr>
            <w:r>
              <w:rPr>
                <w:rFonts w:ascii="Calibri" w:cs="Calibri" w:eastAsia="Calibri" w:hAnsi="Calibri"/>
                <w:b w:val="false"/>
                <w:bCs w:val="false"/>
                <w:color w:val="222222"/>
                <w:sz w:val="20"/>
                <w:szCs w:val="20"/>
              </w:rPr>
              <w:t xml:space="preserve">The final step that releases an approved rule into the live system so the Engine can use it.</w:t>
            </w:r>
          </w:p>
        </w:tc>
      </w:tr>
    </w:tbl>
    <w:p>
      <w:pPr>
        <w:pStyle w:val="Heading1"/>
      </w:pPr>
      <w:r>
        <w:t xml:space="preserve">11. Summary and Key Takeaways</w:t>
      </w:r>
    </w:p>
    <w:p>
      <w:pPr>
        <w:spacing w:after="140" w:before="0" w:line="276"/>
      </w:pPr>
      <w:r>
        <w:rPr>
          <w:rFonts w:ascii="Calibri" w:cs="Calibri" w:eastAsia="Calibri" w:hAnsi="Calibri"/>
          <w:sz w:val="22"/>
          <w:szCs w:val="22"/>
        </w:rPr>
        <w:t xml:space="preserve">If you remember only a handful of things from this document, make it these:</w:t>
      </w:r>
    </w:p>
    <w:p>
      <w:pPr>
        <w:pStyle w:val="ListParagraph"/>
        <w:numPr>
          <w:ilvl w:val="0"/>
          <w:numId w:val="2"/>
        </w:numPr>
        <w:spacing w:after="90" w:line="276"/>
      </w:pPr>
      <w:r>
        <w:rPr>
          <w:rFonts w:ascii="Calibri" w:cs="Calibri" w:eastAsia="Calibri" w:hAnsi="Calibri"/>
          <w:sz w:val="22"/>
          <w:szCs w:val="22"/>
        </w:rPr>
        <w:t xml:space="preserve">The platform is three programs, each with one job: the Portal shows results, the Engine calculates them, and the Rule-Authoring Tool writes the rules.</w:t>
      </w:r>
    </w:p>
    <w:p>
      <w:pPr>
        <w:pStyle w:val="ListParagraph"/>
        <w:numPr>
          <w:ilvl w:val="0"/>
          <w:numId w:val="2"/>
        </w:numPr>
        <w:spacing w:after="90" w:line="276"/>
      </w:pPr>
      <w:r>
        <w:rPr>
          <w:rFonts w:ascii="Calibri" w:cs="Calibri" w:eastAsia="Calibri" w:hAnsi="Calibri"/>
          <w:sz w:val="22"/>
          <w:szCs w:val="22"/>
        </w:rPr>
        <w:t xml:space="preserve">The part users click on is not the part that does the calculating. The Portal is a window; the Engine (CLOCompliance) does the work.</w:t>
      </w:r>
    </w:p>
    <w:p>
      <w:pPr>
        <w:pStyle w:val="ListParagraph"/>
        <w:numPr>
          <w:ilvl w:val="0"/>
          <w:numId w:val="2"/>
        </w:numPr>
        <w:spacing w:after="90" w:line="276"/>
      </w:pPr>
      <w:r>
        <w:rPr>
          <w:rFonts w:ascii="Calibri" w:cs="Calibri" w:eastAsia="Calibri" w:hAnsi="Calibri"/>
          <w:sz w:val="22"/>
          <w:szCs w:val="22"/>
        </w:rPr>
        <w:t xml:space="preserve">Rules follow a careful, reviewed path — Draft, Pending Approval, Approved, Deployed — before they can affect any live result.</w:t>
      </w:r>
    </w:p>
    <w:p>
      <w:pPr>
        <w:pStyle w:val="ListParagraph"/>
        <w:numPr>
          <w:ilvl w:val="0"/>
          <w:numId w:val="2"/>
        </w:numPr>
        <w:spacing w:after="90" w:line="276"/>
      </w:pPr>
      <w:r>
        <w:rPr>
          <w:rFonts w:ascii="Calibri" w:cs="Calibri" w:eastAsia="Calibri" w:hAnsi="Calibri"/>
          <w:sz w:val="22"/>
          <w:szCs w:val="22"/>
        </w:rPr>
        <w:t xml:space="preserve">Everything stays consistent because every check, report, and what-if uses the same Engine and the same approved rules, all handed over through one central database.</w:t>
      </w:r>
    </w:p>
    <w:p>
      <w:pPr>
        <w:pStyle w:val="ListParagraph"/>
        <w:numPr>
          <w:ilvl w:val="0"/>
          <w:numId w:val="2"/>
        </w:numPr>
        <w:spacing w:after="90" w:line="276"/>
      </w:pPr>
      <w:r>
        <w:rPr>
          <w:rFonts w:ascii="Calibri" w:cs="Calibri" w:eastAsia="Calibri" w:hAnsi="Calibri"/>
          <w:sz w:val="22"/>
          <w:szCs w:val="22"/>
        </w:rPr>
        <w:t xml:space="preserve">“DocCompliance” is not a separate system; it is another name for CLOCompliance.</w:t>
      </w:r>
    </w:p>
    <w:p>
      <w:pPr>
        <w:pBdr>
          <w:top w:val="single" w:color="B7C3D9" w:sz="6" w:space="10"/>
        </w:pBdr>
        <w:spacing w:before="300"/>
      </w:pPr>
      <w:r>
        <w:rPr>
          <w:rFonts w:ascii="Calibri" w:cs="Calibri" w:eastAsia="Calibri" w:hAnsi="Calibri"/>
          <w:i/>
          <w:iCs/>
          <w:color w:val="595959"/>
          <w:sz w:val="18"/>
          <w:szCs w:val="18"/>
        </w:rPr>
        <w:t xml:space="preserve">Prepared by Parth Bathiya  ·  Compliance System — A Plain-Language Overview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496"/>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C3D9" w:sz="6" w:space="6"/>
      </w:pBdr>
      <w:spacing w:after="150" w:before="3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System — A Plain-Language Overview</dc:title>
  <dc:creator>Parth Bathiya</dc:creator>
  <dc:description>Non-technical overview of the compliance platform</dc:description>
  <cp:lastModifiedBy>Un-named</cp:lastModifiedBy>
  <cp:revision>1</cp:revision>
  <dcterms:created xsi:type="dcterms:W3CDTF">2026-09-10T12:30:23.803Z</dcterms:created>
  <dcterms:modified xsi:type="dcterms:W3CDTF">2026-09-10T12:30:23.803Z</dcterms:modified>
</cp:coreProperties>
</file>

<file path=docProps/custom.xml><?xml version="1.0" encoding="utf-8"?>
<Properties xmlns="http://schemas.openxmlformats.org/officeDocument/2006/custom-properties" xmlns:vt="http://schemas.openxmlformats.org/officeDocument/2006/docPropsVTypes"/>
</file>