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Estructura de Microservicios — EPS</w:t>
      </w:r>
    </w:p>
    <w:p>
      <w:pPr>
        <w:spacing w:after="300"/>
      </w:pPr>
      <w:r>
        <w:rPr>
          <w:i/>
          <w:iCs/>
        </w:rPr>
        <w:t xml:space="preserve">Repositorio: evaluacionGit — Rama base (main)</w:t>
      </w:r>
    </w:p>
    <w:p>
      <w:pPr>
        <w:pStyle w:val="Heading1"/>
      </w:pPr>
      <w:r>
        <w:t xml:space="preserve">1. Propósito del documento</w:t>
      </w:r>
    </w:p>
    <w:p>
      <w:pPr>
        <w:spacing w:after="300"/>
      </w:pPr>
      <w:r>
        <w:t xml:space="preserve">Este documento describe el esqueleto de carpetas del proyecto de microservicios propuesto para una EPS (Entidad Promotora de Salud). En esta etapa únicamente se define la estructura de organización de los servicios; no se incluye implementación de código funcional.</w:t>
      </w:r>
    </w:p>
    <w:p>
      <w:pPr>
        <w:pStyle w:val="Heading1"/>
      </w:pPr>
      <w:r>
        <w:t xml:space="preserve">2. Estructura de carpetas</w:t>
      </w:r>
    </w:p>
    <w:p>
      <w:r>
        <w:rPr>
          <w:rFonts w:ascii="Consolas" w:cs="Consolas" w:eastAsia="Consolas" w:hAnsi="Consolas"/>
        </w:rPr>
        <w:t xml:space="preserve">eps-microservicios/</w:t>
      </w:r>
    </w:p>
    <w:p>
      <w:r>
        <w:rPr>
          <w:rFonts w:ascii="Consolas" w:cs="Consolas" w:eastAsia="Consolas" w:hAnsi="Consolas"/>
        </w:rPr>
        <w:t xml:space="preserve">├── api-gateway/</w:t>
      </w:r>
    </w:p>
    <w:p>
      <w:r>
        <w:rPr>
          <w:rFonts w:ascii="Consolas" w:cs="Consolas" w:eastAsia="Consolas" w:hAnsi="Consolas"/>
        </w:rPr>
        <w:t xml:space="preserve">├── ms-autenticacion/</w:t>
      </w:r>
    </w:p>
    <w:p>
      <w:r>
        <w:rPr>
          <w:rFonts w:ascii="Consolas" w:cs="Consolas" w:eastAsia="Consolas" w:hAnsi="Consolas"/>
        </w:rPr>
        <w:t xml:space="preserve">├── ms-afiliaciones/</w:t>
      </w:r>
    </w:p>
    <w:p>
      <w:r>
        <w:rPr>
          <w:rFonts w:ascii="Consolas" w:cs="Consolas" w:eastAsia="Consolas" w:hAnsi="Consolas"/>
        </w:rPr>
        <w:t xml:space="preserve">├── ms-citas-medicas/</w:t>
      </w:r>
    </w:p>
    <w:p>
      <w:r>
        <w:rPr>
          <w:rFonts w:ascii="Consolas" w:cs="Consolas" w:eastAsia="Consolas" w:hAnsi="Consolas"/>
        </w:rPr>
        <w:t xml:space="preserve">├── ms-autorizaciones/</w:t>
      </w:r>
    </w:p>
    <w:p>
      <w:r>
        <w:rPr>
          <w:rFonts w:ascii="Consolas" w:cs="Consolas" w:eastAsia="Consolas" w:hAnsi="Consolas"/>
        </w:rPr>
        <w:t xml:space="preserve">├── ms-historia-clinica/</w:t>
      </w:r>
    </w:p>
    <w:p>
      <w:r>
        <w:rPr>
          <w:rFonts w:ascii="Consolas" w:cs="Consolas" w:eastAsia="Consolas" w:hAnsi="Consolas"/>
        </w:rPr>
        <w:t xml:space="preserve">├── ms-farmacia/</w:t>
      </w:r>
    </w:p>
    <w:p>
      <w:r>
        <w:rPr>
          <w:rFonts w:ascii="Consolas" w:cs="Consolas" w:eastAsia="Consolas" w:hAnsi="Consolas"/>
        </w:rPr>
        <w:t xml:space="preserve">├── ms-facturacion/</w:t>
      </w:r>
    </w:p>
    <w:p>
      <w:r>
        <w:rPr>
          <w:rFonts w:ascii="Consolas" w:cs="Consolas" w:eastAsia="Consolas" w:hAnsi="Consolas"/>
        </w:rPr>
        <w:t xml:space="preserve">└── ms-notificaciones/</w:t>
      </w:r>
    </w:p>
    <w:p>
      <w:pPr>
        <w:spacing w:after="200"/>
      </w:pPr>
    </w:p>
    <w:p>
      <w:pPr>
        <w:pStyle w:val="Heading1"/>
      </w:pPr>
      <w:r>
        <w:t xml:space="preserve">3. Descripción de cada microservicio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2E5395" w:val="clear"/>
          </w:tcPr>
          <w:p>
            <w:r>
              <w:rPr>
                <w:b/>
                <w:bCs/>
                <w:color w:val="FFFFFF"/>
              </w:rPr>
              <w:t xml:space="preserve">Microservicio</w:t>
            </w:r>
          </w:p>
        </w:tc>
        <w:tc>
          <w:tcPr>
            <w:tcW w:type="dxa" w:w="6800"/>
            <w:shd w:fill="2E5395" w:val="clear"/>
          </w:tcPr>
          <w:p>
            <w:r>
              <w:rPr>
                <w:b/>
                <w:bCs/>
                <w:color w:val="FFFFFF"/>
              </w:rPr>
              <w:t xml:space="preserve">Responsabilidad</w:t>
            </w:r>
          </w:p>
        </w:tc>
      </w:tr>
      <w:tr>
        <w:tc>
          <w:tcPr>
            <w:tcW w:type="dxa" w:w="2600"/>
          </w:tcPr>
          <w:p>
            <w:r>
              <w:t xml:space="preserve">api-gateway</w:t>
            </w:r>
          </w:p>
        </w:tc>
        <w:tc>
          <w:tcPr>
            <w:tcW w:type="dxa" w:w="6800"/>
          </w:tcPr>
          <w:p>
            <w:r>
              <w:t xml:space="preserve">Punto de entrada único del sistema. Enruta las peticiones del cliente hacia el microservicio correspondiente, aplica autenticación y balanceo de carga.</w:t>
            </w:r>
          </w:p>
        </w:tc>
      </w:tr>
      <w:tr>
        <w:tc>
          <w:tcPr>
            <w:tcW w:type="dxa" w:w="2600"/>
          </w:tcPr>
          <w:p>
            <w:r>
              <w:t xml:space="preserve">ms-autenticacion</w:t>
            </w:r>
          </w:p>
        </w:tc>
        <w:tc>
          <w:tcPr>
            <w:tcW w:type="dxa" w:w="6800"/>
          </w:tcPr>
          <w:p>
            <w:r>
              <w:t xml:space="preserve">Gestiona el inicio de sesión, la emisión de tokens (JWT) y el control de acceso de usuarios (afiliados, personal médico, administrativos).</w:t>
            </w:r>
          </w:p>
        </w:tc>
      </w:tr>
      <w:tr>
        <w:tc>
          <w:tcPr>
            <w:tcW w:type="dxa" w:w="2600"/>
          </w:tcPr>
          <w:p>
            <w:r>
              <w:t xml:space="preserve">ms-afiliaciones</w:t>
            </w:r>
          </w:p>
        </w:tc>
        <w:tc>
          <w:tcPr>
            <w:tcW w:type="dxa" w:w="6800"/>
          </w:tcPr>
          <w:p>
            <w:r>
              <w:t xml:space="preserve">Administra el registro, actualización y consulta del estado de afiliación de los usuarios a la EPS.</w:t>
            </w:r>
          </w:p>
        </w:tc>
      </w:tr>
      <w:tr>
        <w:tc>
          <w:tcPr>
            <w:tcW w:type="dxa" w:w="2600"/>
          </w:tcPr>
          <w:p>
            <w:r>
              <w:t xml:space="preserve">ms-citas-medicas</w:t>
            </w:r>
          </w:p>
        </w:tc>
        <w:tc>
          <w:tcPr>
            <w:tcW w:type="dxa" w:w="6800"/>
          </w:tcPr>
          <w:p>
            <w:r>
              <w:t xml:space="preserve">Gestiona el agendamiento, reprogramación y cancelación de citas médicas, así como la disponibilidad de los profesionales de salud.</w:t>
            </w:r>
          </w:p>
        </w:tc>
      </w:tr>
      <w:tr>
        <w:tc>
          <w:tcPr>
            <w:tcW w:type="dxa" w:w="2600"/>
          </w:tcPr>
          <w:p>
            <w:r>
              <w:t xml:space="preserve">ms-autorizaciones</w:t>
            </w:r>
          </w:p>
        </w:tc>
        <w:tc>
          <w:tcPr>
            <w:tcW w:type="dxa" w:w="6800"/>
          </w:tcPr>
          <w:p>
            <w:r>
              <w:t xml:space="preserve">Procesa las solicitudes de autorización de procedimientos, exámenes y servicios médicos que requieren aprobación previa.</w:t>
            </w:r>
          </w:p>
        </w:tc>
      </w:tr>
      <w:tr>
        <w:tc>
          <w:tcPr>
            <w:tcW w:type="dxa" w:w="2600"/>
          </w:tcPr>
          <w:p>
            <w:r>
              <w:t xml:space="preserve">ms-historia-clinica</w:t>
            </w:r>
          </w:p>
        </w:tc>
        <w:tc>
          <w:tcPr>
            <w:tcW w:type="dxa" w:w="6800"/>
          </w:tcPr>
          <w:p>
            <w:r>
              <w:t xml:space="preserve">Almacena y gestiona el historial médico electrónico de cada paciente (diagnósticos, tratamientos, evolución).</w:t>
            </w:r>
          </w:p>
        </w:tc>
      </w:tr>
      <w:tr>
        <w:tc>
          <w:tcPr>
            <w:tcW w:type="dxa" w:w="2600"/>
          </w:tcPr>
          <w:p>
            <w:r>
              <w:t xml:space="preserve">ms-farmacia</w:t>
            </w:r>
          </w:p>
        </w:tc>
        <w:tc>
          <w:tcPr>
            <w:tcW w:type="dxa" w:w="6800"/>
          </w:tcPr>
          <w:p>
            <w:r>
              <w:t xml:space="preserve">Gestiona el inventario y la dispensación de medicamentos formulados a los afiliados.</w:t>
            </w:r>
          </w:p>
        </w:tc>
      </w:tr>
      <w:tr>
        <w:tc>
          <w:tcPr>
            <w:tcW w:type="dxa" w:w="2600"/>
          </w:tcPr>
          <w:p>
            <w:r>
              <w:t xml:space="preserve">ms-facturacion</w:t>
            </w:r>
          </w:p>
        </w:tc>
        <w:tc>
          <w:tcPr>
            <w:tcW w:type="dxa" w:w="6800"/>
          </w:tcPr>
          <w:p>
            <w:r>
              <w:t xml:space="preserve">Genera y controla la liquidación y el cobro de los servicios de salud prestados.</w:t>
            </w:r>
          </w:p>
        </w:tc>
      </w:tr>
      <w:tr>
        <w:tc>
          <w:tcPr>
            <w:tcW w:type="dxa" w:w="2600"/>
          </w:tcPr>
          <w:p>
            <w:r>
              <w:t xml:space="preserve">ms-notificaciones</w:t>
            </w:r>
          </w:p>
        </w:tc>
        <w:tc>
          <w:tcPr>
            <w:tcW w:type="dxa" w:w="6800"/>
          </w:tcPr>
          <w:p>
            <w:r>
              <w:t xml:space="preserve">Envía alertas y recordatorios a los usuarios (citas, autorizaciones, resultados) por correo o SMS.</w:t>
            </w:r>
          </w:p>
        </w:tc>
      </w:tr>
    </w:tbl>
    <w:p>
      <w:pPr>
        <w:spacing w:before="300"/>
      </w:pPr>
    </w:p>
    <w:p>
      <w:pPr>
        <w:pStyle w:val="Heading1"/>
      </w:pPr>
      <w:r>
        <w:t xml:space="preserve">4. Alcance en esta rama (main)</w:t>
      </w:r>
    </w:p>
    <w:p>
      <w:r>
        <w:t xml:space="preserve">La rama main contiene únicamente la estructura base de carpetas y este documento de estructura. La documentación detallada de la arquitectura y su diagrama se encuentran exclusivamente en la carpeta Docs de la rama desarrollo, y los algoritmos de prueba en la carpeta Algoritmos_pruebas de las ramas desarrollo y pruebas.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2026-09-27T04:10:23.456Z</dcterms:created>
  <dcterms:modified xsi:type="dcterms:W3CDTF">2026-09-27T04:10:23.457Z</dcterms:modified>
</cp:coreProperties>
</file>

<file path=docProps/custom.xml><?xml version="1.0" encoding="utf-8"?>
<Properties xmlns="http://schemas.openxmlformats.org/officeDocument/2006/custom-properties" xmlns:vt="http://schemas.openxmlformats.org/officeDocument/2006/docPropsVTypes"/>
</file>