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hdphoto1.wdp" ContentType="image/vnd.ms-photo"/>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color w:val="C00000"/>
          <w:sz w:val="32"/>
          <w:szCs w:val="32"/>
        </w:rPr>
      </w:pPr>
      <w:r>
        <mc:AlternateContent>
          <mc:Choice Requires="wps">
            <w:drawing>
              <wp:anchor behindDoc="0" distT="0" distB="0" distL="114300" distR="114300" simplePos="0" locked="0" layoutInCell="1" allowOverlap="1" relativeHeight="2" wp14:anchorId="704B7161">
                <wp:simplePos x="0" y="0"/>
                <wp:positionH relativeFrom="margin">
                  <wp:align>center</wp:align>
                </wp:positionH>
                <wp:positionV relativeFrom="margin">
                  <wp:posOffset>-647700</wp:posOffset>
                </wp:positionV>
                <wp:extent cx="955675" cy="833755"/>
                <wp:effectExtent l="0" t="0" r="0" b="5080"/>
                <wp:wrapSquare wrapText="bothSides"/>
                <wp:docPr id="1" name="Image 16"/>
                <a:graphic xmlns:a="http://schemas.openxmlformats.org/drawingml/2006/main">
                  <a:graphicData uri="http://schemas.openxmlformats.org/drawingml/2006/picture">
                    <pic:pic xmlns:pic="http://schemas.openxmlformats.org/drawingml/2006/picture">
                      <pic:nvPicPr>
                        <pic:cNvPr id="0" name="Image 16" descr=""/>
                        <pic:cNvPicPr/>
                      </pic:nvPicPr>
                      <pic:blipFill>
                        <a:blip r:embed="rId2">
                          <a:extLst>
                            <a:ext uri="{BEBA8EAE-BF5A-486C-A8C5-ECC9F3942E4B}">
                              <a14:imgProps xmlns:a14="http://schemas.microsoft.com/office/drawing/2010/main">
                                <a14:imgLayer r:embed="rId3">
                                  <a14:imgEffect>
                                    <a14:sharpenSoften amount="25000"/>
                                  </a14:imgEffect>
                                </a14:imgLayer>
                              </a14:imgProps>
                            </a:ext>
                          </a:extLst>
                        </a:blip>
                        <a:stretch/>
                      </pic:blipFill>
                      <pic:spPr>
                        <a:xfrm>
                          <a:off x="0" y="0"/>
                          <a:ext cx="955080" cy="8330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6" stroked="f" style="position:absolute;margin-left:189.15pt;margin-top:-51pt;width:75.15pt;height:65.55pt;mso-position-horizontal:center;mso-position-horizontal-relative:margin;mso-position-vertical-relative:margin" wp14:anchorId="704B7161" type="shapetype_75">
                <v:imagedata r:id="rId2" o:detectmouseclick="t"/>
                <w10:wrap type="none"/>
                <v:stroke color="#3465a4" joinstyle="round" endcap="flat"/>
              </v:shape>
            </w:pict>
          </mc:Fallback>
        </mc:AlternateContent>
      </w:r>
      <w:r>
        <w:rPr>
          <w:color w:val="C00000"/>
          <w:sz w:val="32"/>
          <w:szCs w:val="32"/>
        </w:rPr>
        <w:t xml:space="preserve">Support de cours du stagiaire </w:t>
      </w:r>
    </w:p>
    <w:p>
      <w:pPr>
        <w:pStyle w:val="Normal"/>
        <w:jc w:val="center"/>
        <w:rPr>
          <w:color w:val="C00000"/>
          <w:sz w:val="32"/>
          <w:szCs w:val="32"/>
        </w:rPr>
      </w:pPr>
      <w:r>
        <w:rPr>
          <w:color w:val="C00000"/>
          <w:sz w:val="32"/>
          <w:szCs w:val="32"/>
        </w:rPr>
        <w:t>--- --- ---- ---</w:t>
      </w:r>
    </w:p>
    <w:p>
      <w:pPr>
        <w:pStyle w:val="Normal"/>
        <w:pBdr>
          <w:top w:val="single" w:sz="4" w:space="1" w:color="000000"/>
          <w:left w:val="single" w:sz="4" w:space="4" w:color="000000"/>
          <w:bottom w:val="single" w:sz="4" w:space="1" w:color="000000"/>
          <w:right w:val="single" w:sz="4" w:space="4" w:color="000000"/>
        </w:pBdr>
        <w:tabs>
          <w:tab w:val="clear" w:pos="720"/>
          <w:tab w:val="left" w:pos="2630" w:leader="none"/>
          <w:tab w:val="center" w:pos="4535" w:leader="none"/>
        </w:tabs>
        <w:spacing w:before="0" w:after="360"/>
        <w:jc w:val="center"/>
        <w:rPr>
          <w:b/>
          <w:b/>
          <w:sz w:val="48"/>
          <w:szCs w:val="48"/>
        </w:rPr>
      </w:pPr>
      <w:r>
        <w:rPr>
          <w:b/>
          <w:sz w:val="48"/>
          <w:szCs w:val="48"/>
        </w:rPr>
        <w:t>Débit de boisson</w:t>
      </w:r>
    </w:p>
    <w:p>
      <w:pPr>
        <w:pStyle w:val="Titre4"/>
        <w:numPr>
          <w:ilvl w:val="0"/>
          <w:numId w:val="0"/>
        </w:numPr>
        <w:ind w:left="720" w:hanging="0"/>
        <w:rPr/>
      </w:pPr>
      <w:r>
        <w:rPr/>
        <w:t xml:space="preserve"> </w:t>
      </w:r>
    </w:p>
    <w:p>
      <w:pPr>
        <w:pStyle w:val="Normal"/>
        <w:rPr>
          <w:b/>
          <w:b/>
        </w:rPr>
      </w:pPr>
      <w:r>
        <w:rPr>
          <w:b/>
        </w:rPr>
        <w:t>L</w:t>
      </w:r>
      <w:r>
        <w:rPr>
          <w:b/>
        </w:rPr>
        <w:t>es débits de boisson</w:t>
      </w:r>
    </w:p>
    <w:p>
      <w:pPr>
        <w:pStyle w:val="Normal"/>
        <w:rPr/>
      </w:pPr>
      <w:r>
        <w:rPr/>
        <w:t xml:space="preserve">Classification des boissons </w:t>
      </w:r>
      <w:r>
        <w:rPr/>
        <w:t>par le code de la santé publique</w:t>
      </w:r>
      <w:r>
        <w:rPr/>
        <w:t> :</w:t>
      </w:r>
    </w:p>
    <w:p>
      <w:pPr>
        <w:pStyle w:val="Normal"/>
        <w:rPr>
          <w:sz w:val="22"/>
          <w:szCs w:val="22"/>
        </w:rPr>
      </w:pPr>
      <w:r>
        <w:rPr>
          <w:rFonts w:eastAsia="Cambria"/>
          <w:color w:val="071F32"/>
          <w:kern w:val="2"/>
          <w:sz w:val="22"/>
          <w:szCs w:val="22"/>
          <w:lang w:val="fr-FR"/>
        </w:rPr>
        <w:t>Le 1</w:t>
      </w:r>
      <w:r>
        <w:rPr>
          <w:rFonts w:eastAsia="Cambria"/>
          <w:color w:val="071F32"/>
          <w:kern w:val="2"/>
          <w:sz w:val="22"/>
          <w:szCs w:val="22"/>
          <w:vertAlign w:val="superscript"/>
          <w:lang w:val="fr-FR"/>
        </w:rPr>
        <w:t>er</w:t>
      </w:r>
      <w:r>
        <w:rPr>
          <w:rFonts w:eastAsia="Cambria"/>
          <w:color w:val="071F32"/>
          <w:kern w:val="2"/>
          <w:sz w:val="22"/>
          <w:szCs w:val="22"/>
          <w:lang w:val="fr-FR"/>
        </w:rPr>
        <w:t xml:space="preserve"> groupe: Les boissons non alcoolique</w:t>
      </w:r>
    </w:p>
    <w:p>
      <w:pPr>
        <w:pStyle w:val="Normal"/>
        <w:rPr>
          <w:color w:val="000000"/>
          <w:sz w:val="22"/>
          <w:szCs w:val="22"/>
        </w:rPr>
      </w:pPr>
      <w:r>
        <w:rPr>
          <w:rFonts w:eastAsia="Cambria"/>
          <w:color w:val="000000"/>
          <w:kern w:val="2"/>
          <w:sz w:val="22"/>
          <w:szCs w:val="22"/>
          <w:lang w:val="fr-FR"/>
        </w:rPr>
        <w:t>Le 2</w:t>
      </w:r>
      <w:r>
        <w:rPr>
          <w:rFonts w:eastAsia="Cambria"/>
          <w:color w:val="000000"/>
          <w:kern w:val="2"/>
          <w:sz w:val="22"/>
          <w:szCs w:val="22"/>
          <w:vertAlign w:val="superscript"/>
          <w:lang w:val="fr-FR"/>
        </w:rPr>
        <w:t>eme</w:t>
      </w:r>
      <w:r>
        <w:rPr>
          <w:rFonts w:eastAsia="Cambria"/>
          <w:color w:val="000000"/>
          <w:kern w:val="2"/>
          <w:sz w:val="22"/>
          <w:szCs w:val="22"/>
          <w:lang w:val="fr-FR"/>
        </w:rPr>
        <w:t xml:space="preserve"> groupe: Abrogé</w:t>
      </w:r>
    </w:p>
    <w:p>
      <w:pPr>
        <w:pStyle w:val="Normal"/>
        <w:numPr>
          <w:ilvl w:val="0"/>
          <w:numId w:val="0"/>
        </w:numPr>
        <w:bidi w:val="0"/>
        <w:ind w:left="0" w:hanging="0"/>
        <w:rPr>
          <w:sz w:val="22"/>
          <w:szCs w:val="22"/>
        </w:rPr>
      </w:pPr>
      <w:r>
        <w:rPr>
          <w:rFonts w:eastAsia="Cambria"/>
          <w:color w:val="071F32"/>
          <w:kern w:val="2"/>
          <w:sz w:val="22"/>
          <w:szCs w:val="22"/>
          <w:lang w:val="fr-FR"/>
        </w:rPr>
        <w:t>Le 3</w:t>
      </w:r>
      <w:r>
        <w:rPr>
          <w:rFonts w:eastAsia="Cambria"/>
          <w:color w:val="071F32"/>
          <w:kern w:val="2"/>
          <w:sz w:val="22"/>
          <w:szCs w:val="22"/>
          <w:vertAlign w:val="superscript"/>
          <w:lang w:val="fr-FR"/>
        </w:rPr>
        <w:t xml:space="preserve">eme </w:t>
      </w:r>
      <w:r>
        <w:rPr>
          <w:rFonts w:eastAsia="Cambria"/>
          <w:color w:val="071F32"/>
          <w:kern w:val="2"/>
          <w:sz w:val="22"/>
          <w:szCs w:val="22"/>
          <w:lang w:val="fr-FR"/>
        </w:rPr>
        <w:t>groupe: Vin doux, cidre, bière…</w:t>
      </w:r>
    </w:p>
    <w:p>
      <w:pPr>
        <w:pStyle w:val="Normal"/>
        <w:numPr>
          <w:ilvl w:val="0"/>
          <w:numId w:val="0"/>
        </w:numPr>
        <w:bidi w:val="0"/>
        <w:ind w:left="0" w:hanging="0"/>
        <w:rPr>
          <w:sz w:val="22"/>
          <w:szCs w:val="22"/>
        </w:rPr>
      </w:pPr>
      <w:r>
        <w:rPr>
          <w:rFonts w:eastAsia="Cambria"/>
          <w:color w:val="071F32"/>
          <w:kern w:val="2"/>
          <w:sz w:val="22"/>
          <w:szCs w:val="22"/>
          <w:lang w:val="fr-FR"/>
        </w:rPr>
        <w:t>Le 4</w:t>
      </w:r>
      <w:r>
        <w:rPr>
          <w:rFonts w:eastAsia="Cambria"/>
          <w:color w:val="071F32"/>
          <w:kern w:val="2"/>
          <w:sz w:val="22"/>
          <w:szCs w:val="22"/>
          <w:vertAlign w:val="superscript"/>
          <w:lang w:val="fr-FR"/>
        </w:rPr>
        <w:t xml:space="preserve">eme </w:t>
      </w:r>
      <w:r>
        <w:rPr>
          <w:rFonts w:eastAsia="Cambria"/>
          <w:color w:val="071F32"/>
          <w:kern w:val="2"/>
          <w:sz w:val="22"/>
          <w:szCs w:val="22"/>
          <w:lang w:val="fr-FR"/>
        </w:rPr>
        <w:t>groupe: Rhums, eaux de vie…</w:t>
      </w:r>
    </w:p>
    <w:p>
      <w:pPr>
        <w:pStyle w:val="Normal"/>
        <w:numPr>
          <w:ilvl w:val="0"/>
          <w:numId w:val="0"/>
        </w:numPr>
        <w:bidi w:val="0"/>
        <w:ind w:left="0" w:hanging="0"/>
        <w:rPr>
          <w:sz w:val="22"/>
          <w:szCs w:val="22"/>
        </w:rPr>
      </w:pPr>
      <w:r>
        <w:rPr>
          <w:rFonts w:eastAsia="Cambria"/>
          <w:color w:val="071F32"/>
          <w:kern w:val="2"/>
          <w:sz w:val="22"/>
          <w:szCs w:val="22"/>
          <w:lang w:val="fr-FR"/>
        </w:rPr>
        <w:t>Le 5</w:t>
      </w:r>
      <w:r>
        <w:rPr>
          <w:rFonts w:eastAsia="Cambria"/>
          <w:color w:val="071F32"/>
          <w:kern w:val="2"/>
          <w:sz w:val="22"/>
          <w:szCs w:val="22"/>
          <w:vertAlign w:val="superscript"/>
          <w:lang w:val="fr-FR"/>
        </w:rPr>
        <w:t xml:space="preserve">eme </w:t>
      </w:r>
      <w:r>
        <w:rPr>
          <w:rFonts w:eastAsia="Cambria"/>
          <w:color w:val="071F32"/>
          <w:kern w:val="2"/>
          <w:sz w:val="22"/>
          <w:szCs w:val="22"/>
          <w:lang w:val="fr-FR"/>
        </w:rPr>
        <w:t>groupe: Vodka, whisky…</w:t>
      </w:r>
    </w:p>
    <w:p>
      <w:pPr>
        <w:pStyle w:val="Normal"/>
        <w:bidi w:val="0"/>
        <w:ind w:left="340" w:firstLine="173"/>
        <w:rPr>
          <w:rFonts w:ascii="Montserrat" w:hAnsi="Montserrat"/>
          <w:color w:val="071F32"/>
          <w:kern w:val="2"/>
          <w:sz w:val="36"/>
          <w:lang w:val="fr-FR"/>
        </w:rPr>
      </w:pPr>
      <w:r>
        <w:rPr>
          <w:rFonts w:ascii="Montserrat" w:hAnsi="Montserrat"/>
          <w:color w:val="071F32"/>
          <w:kern w:val="2"/>
          <w:sz w:val="36"/>
          <w:lang w:val="fr-FR"/>
        </w:rPr>
      </w:r>
    </w:p>
    <w:p>
      <w:pPr>
        <w:pStyle w:val="Normal"/>
        <w:rPr>
          <w:sz w:val="22"/>
          <w:szCs w:val="22"/>
        </w:rPr>
      </w:pPr>
      <w:r>
        <w:rPr>
          <w:rFonts w:eastAsia="Cambria"/>
          <w:b/>
          <w:color w:val="071F32"/>
          <w:kern w:val="2"/>
          <w:sz w:val="22"/>
          <w:szCs w:val="22"/>
          <w:lang w:val="fr-FR"/>
        </w:rPr>
        <w:t>Qu'est-ce qu'une licence de débit de boisson ?</w:t>
      </w:r>
    </w:p>
    <w:p>
      <w:pPr>
        <w:pStyle w:val="Normal"/>
        <w:bidi w:val="0"/>
        <w:jc w:val="both"/>
        <w:rPr>
          <w:sz w:val="22"/>
          <w:szCs w:val="22"/>
        </w:rPr>
      </w:pPr>
      <w:r>
        <w:rPr>
          <w:rFonts w:eastAsia="Cambria"/>
          <w:color w:val="071F32"/>
          <w:kern w:val="2"/>
          <w:sz w:val="22"/>
          <w:szCs w:val="22"/>
          <w:lang w:val="fr-FR"/>
        </w:rPr>
        <w:t>Un établissement qui vend des</w:t>
      </w:r>
      <w:r>
        <w:rPr>
          <w:rFonts w:eastAsia="Cambria"/>
          <w:b w:val="false"/>
          <w:bCs w:val="false"/>
          <w:color w:val="000000"/>
          <w:kern w:val="2"/>
          <w:sz w:val="22"/>
          <w:szCs w:val="22"/>
          <w:lang w:val="fr-FR"/>
        </w:rPr>
        <w:t xml:space="preserve"> boissons alcoolisées - que cette vente se fasse à titre principal (comme dans un bar) ou accessoire (comme dans un restaurant) et que les boissons soient consommées sur place ou emportées - </w:t>
      </w:r>
      <w:r>
        <w:rPr>
          <w:rFonts w:eastAsia="Cambria"/>
          <w:b w:val="false"/>
          <w:bCs w:val="false"/>
          <w:color w:val="000000"/>
          <w:kern w:val="2"/>
          <w:sz w:val="22"/>
          <w:szCs w:val="22"/>
          <w:lang w:val="fr-FR"/>
        </w:rPr>
        <w:t xml:space="preserve">doit posséder une autorisation </w:t>
      </w:r>
      <w:r>
        <w:rPr>
          <w:rFonts w:eastAsia="Cambria"/>
          <w:b w:val="false"/>
          <w:bCs w:val="false"/>
          <w:color w:val="000000"/>
          <w:kern w:val="2"/>
          <w:sz w:val="22"/>
          <w:szCs w:val="22"/>
          <w:lang w:val="fr-FR"/>
        </w:rPr>
        <w:t>lui permettant de vendre à ses clients ces boissons.</w:t>
      </w:r>
    </w:p>
    <w:p>
      <w:pPr>
        <w:pStyle w:val="Normal"/>
        <w:bidi w:val="0"/>
        <w:jc w:val="both"/>
        <w:rPr>
          <w:rFonts w:ascii="Cambria" w:hAnsi="Cambria" w:eastAsia="Cambria"/>
          <w:b w:val="false"/>
          <w:b w:val="false"/>
          <w:bCs w:val="false"/>
          <w:color w:val="000000"/>
          <w:kern w:val="2"/>
          <w:lang w:val="fr-FR"/>
        </w:rPr>
      </w:pPr>
      <w:r>
        <w:rPr>
          <w:sz w:val="22"/>
          <w:szCs w:val="22"/>
        </w:rPr>
      </w:r>
    </w:p>
    <w:p>
      <w:pPr>
        <w:pStyle w:val="Normal"/>
        <w:bidi w:val="0"/>
        <w:jc w:val="both"/>
        <w:rPr>
          <w:sz w:val="22"/>
          <w:szCs w:val="22"/>
        </w:rPr>
      </w:pPr>
      <w:r>
        <w:rPr>
          <w:rFonts w:eastAsia="Cambria"/>
          <w:b/>
          <w:bCs/>
          <w:color w:val="000000"/>
          <w:kern w:val="2"/>
          <w:sz w:val="22"/>
          <w:szCs w:val="22"/>
          <w:lang w:val="fr-FR"/>
        </w:rPr>
        <w:t xml:space="preserve">Au total, il existe </w:t>
      </w:r>
      <w:r>
        <w:rPr>
          <w:rFonts w:eastAsia="Cambria"/>
          <w:b/>
          <w:bCs/>
          <w:color w:val="000000"/>
          <w:kern w:val="2"/>
          <w:sz w:val="22"/>
          <w:szCs w:val="22"/>
          <w:lang w:val="fr-FR"/>
        </w:rPr>
        <w:t>6 type de licences</w:t>
      </w:r>
      <w:r>
        <w:rPr>
          <w:rFonts w:eastAsia="Cambria"/>
          <w:b w:val="false"/>
          <w:bCs w:val="false"/>
          <w:color w:val="000000"/>
          <w:kern w:val="2"/>
          <w:sz w:val="22"/>
          <w:szCs w:val="22"/>
          <w:lang w:val="fr-FR"/>
        </w:rPr>
        <w:t> </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Pour les débit à consommer sur place: La licence de 3</w:t>
      </w:r>
      <w:r>
        <w:rPr>
          <w:rFonts w:eastAsia="Cambria"/>
          <w:b w:val="false"/>
          <w:bCs w:val="false"/>
          <w:color w:val="000000"/>
          <w:kern w:val="2"/>
          <w:sz w:val="22"/>
          <w:szCs w:val="22"/>
          <w:vertAlign w:val="superscript"/>
          <w:lang w:val="fr-FR"/>
        </w:rPr>
        <w:t xml:space="preserve">ème </w:t>
      </w:r>
      <w:r>
        <w:rPr>
          <w:rFonts w:eastAsia="Cambria"/>
          <w:b w:val="false"/>
          <w:bCs w:val="false"/>
          <w:color w:val="000000"/>
          <w:kern w:val="2"/>
          <w:sz w:val="22"/>
          <w:szCs w:val="22"/>
          <w:lang w:val="fr-FR"/>
        </w:rPr>
        <w:t xml:space="preserve">catégorie, qui est aussi appelée « licence III » ou « licence restreinte ». </w:t>
      </w:r>
    </w:p>
    <w:p>
      <w:pPr>
        <w:pStyle w:val="Normal"/>
        <w:bidi w:val="0"/>
        <w:jc w:val="both"/>
        <w:rPr>
          <w:lang w:val="fr-FR"/>
        </w:rPr>
      </w:pPr>
      <w:r>
        <w:rPr>
          <w:rFonts w:eastAsia="Cambria"/>
          <w:b w:val="false"/>
          <w:bCs w:val="false"/>
          <w:color w:val="000000"/>
          <w:kern w:val="2"/>
          <w:sz w:val="22"/>
          <w:szCs w:val="22"/>
          <w:lang w:val="fr-FR"/>
        </w:rPr>
        <w:t>La licence de 4</w:t>
      </w:r>
      <w:r>
        <w:rPr>
          <w:rFonts w:eastAsia="Cambria"/>
          <w:b w:val="false"/>
          <w:bCs w:val="false"/>
          <w:color w:val="000000"/>
          <w:kern w:val="2"/>
          <w:sz w:val="22"/>
          <w:szCs w:val="22"/>
          <w:vertAlign w:val="superscript"/>
          <w:lang w:val="fr-FR"/>
        </w:rPr>
        <w:t xml:space="preserve">ème </w:t>
      </w:r>
      <w:r>
        <w:rPr>
          <w:rFonts w:eastAsia="Cambria"/>
          <w:b w:val="false"/>
          <w:bCs w:val="false"/>
          <w:color w:val="000000"/>
          <w:kern w:val="2"/>
          <w:sz w:val="22"/>
          <w:szCs w:val="22"/>
          <w:lang w:val="fr-FR"/>
        </w:rPr>
        <w:t xml:space="preserve">catégorie, aussi appelée  « licence IV », ou « grande licence », ou « licence de plein exercice ». </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Pour les débit à consommer à emporter: La « petite licence à emporter » et La « licence à emporter »</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Pour les restaurants: Deux types de licences</w:t>
      </w:r>
    </w:p>
    <w:p>
      <w:pPr>
        <w:pStyle w:val="Normal"/>
        <w:bidi w:val="0"/>
        <w:jc w:val="both"/>
        <w:rPr>
          <w:rFonts w:ascii="Cambria" w:hAnsi="Cambria" w:eastAsia="Cambria"/>
          <w:kern w:val="2"/>
          <w:lang w:val="fr-FR"/>
        </w:rPr>
      </w:pPr>
      <w:r>
        <w:rPr>
          <w:b w:val="false"/>
          <w:bCs w:val="false"/>
          <w:color w:val="000000"/>
          <w:sz w:val="22"/>
          <w:szCs w:val="22"/>
        </w:rPr>
      </w:r>
    </w:p>
    <w:p>
      <w:pPr>
        <w:pStyle w:val="Normal"/>
        <w:bidi w:val="0"/>
        <w:jc w:val="both"/>
        <w:rPr>
          <w:rFonts w:ascii="Cambria" w:hAnsi="Cambria" w:eastAsia="Cambria"/>
          <w:kern w:val="2"/>
          <w:lang w:val="fr-FR"/>
        </w:rPr>
      </w:pPr>
      <w:r>
        <w:rPr>
          <w:b w:val="false"/>
          <w:bCs w:val="false"/>
          <w:color w:val="000000"/>
          <w:sz w:val="22"/>
          <w:szCs w:val="22"/>
        </w:rPr>
      </w:r>
    </w:p>
    <w:p>
      <w:pPr>
        <w:pStyle w:val="Normal"/>
        <w:rPr>
          <w:b/>
          <w:b/>
          <w:bCs/>
          <w:color w:val="000000"/>
          <w:sz w:val="22"/>
          <w:szCs w:val="22"/>
        </w:rPr>
      </w:pPr>
      <w:r>
        <w:rPr>
          <w:b/>
          <w:bCs/>
          <w:color w:val="000000"/>
          <w:sz w:val="22"/>
          <w:szCs w:val="22"/>
        </w:rPr>
        <w:t>Le permis d’exploitation</w:t>
      </w:r>
    </w:p>
    <w:p>
      <w:pPr>
        <w:pStyle w:val="Normal"/>
        <w:rPr>
          <w:b w:val="false"/>
          <w:b w:val="false"/>
          <w:bCs w:val="false"/>
          <w:color w:val="000000"/>
          <w:sz w:val="22"/>
          <w:szCs w:val="22"/>
        </w:rPr>
      </w:pPr>
      <w:r>
        <w:rPr>
          <w:rFonts w:eastAsia="Cambria"/>
          <w:b w:val="false"/>
          <w:bCs w:val="false"/>
          <w:color w:val="000000"/>
          <w:kern w:val="2"/>
          <w:sz w:val="22"/>
          <w:szCs w:val="22"/>
          <w:lang w:val="fr-FR"/>
        </w:rPr>
        <w:t xml:space="preserve">Le permis d’exploitation est une formation </w:t>
      </w:r>
      <w:r>
        <w:rPr>
          <w:rFonts w:eastAsia="Cambria"/>
          <w:b w:val="false"/>
          <w:bCs w:val="false"/>
          <w:color w:val="000000"/>
          <w:kern w:val="2"/>
          <w:sz w:val="22"/>
          <w:szCs w:val="22"/>
          <w:lang w:val="fr-FR"/>
        </w:rPr>
        <w:t>délivrée par un organisme agréé, à l'issue de laquelle est délivrée une attestation qui prouve que le futur exploitant a suivi une formation spécifique obligatoire.</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La formation est obligatoire </w:t>
      </w:r>
      <w:r>
        <w:rPr>
          <w:rFonts w:eastAsia="Cambria"/>
          <w:b w:val="false"/>
          <w:bCs w:val="false"/>
          <w:color w:val="000000"/>
          <w:kern w:val="2"/>
          <w:sz w:val="22"/>
          <w:szCs w:val="22"/>
          <w:lang w:val="fr-FR"/>
        </w:rPr>
        <w:t>et dure 20 heures.</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Elle porte sur :</w:t>
      </w:r>
    </w:p>
    <w:p>
      <w:pPr>
        <w:pStyle w:val="Normal"/>
        <w:numPr>
          <w:ilvl w:val="0"/>
          <w:numId w:val="3"/>
        </w:numPr>
        <w:bidi w:val="0"/>
        <w:jc w:val="both"/>
        <w:rPr/>
      </w:pPr>
      <w:r>
        <w:rPr>
          <w:rFonts w:eastAsia="Cambria"/>
          <w:b w:val="false"/>
          <w:bCs w:val="false"/>
          <w:color w:val="071F32"/>
          <w:kern w:val="2"/>
          <w:sz w:val="22"/>
          <w:szCs w:val="22"/>
          <w:lang w:val="fr-FR"/>
        </w:rPr>
        <w:t>La protection des mineurs et la répression de l’ivresse publique</w:t>
      </w:r>
    </w:p>
    <w:p>
      <w:pPr>
        <w:pStyle w:val="Normal"/>
        <w:numPr>
          <w:ilvl w:val="0"/>
          <w:numId w:val="3"/>
        </w:numPr>
        <w:bidi w:val="0"/>
        <w:jc w:val="both"/>
        <w:rPr>
          <w:b w:val="false"/>
          <w:b w:val="false"/>
          <w:bCs w:val="false"/>
          <w:color w:val="000000"/>
          <w:sz w:val="22"/>
          <w:szCs w:val="22"/>
        </w:rPr>
      </w:pPr>
      <w:r>
        <w:rPr>
          <w:rFonts w:eastAsia="Cambria"/>
          <w:b w:val="false"/>
          <w:bCs w:val="false"/>
          <w:color w:val="071F32"/>
          <w:kern w:val="2"/>
          <w:sz w:val="22"/>
          <w:szCs w:val="22"/>
          <w:lang w:val="fr-FR"/>
        </w:rPr>
        <w:t>La prévention et la lutte contre l’alcoolisme</w:t>
      </w:r>
    </w:p>
    <w:p>
      <w:pPr>
        <w:pStyle w:val="Normal"/>
        <w:numPr>
          <w:ilvl w:val="0"/>
          <w:numId w:val="3"/>
        </w:numPr>
        <w:bidi w:val="0"/>
        <w:jc w:val="both"/>
        <w:rPr/>
      </w:pPr>
      <w:r>
        <w:rPr>
          <w:rFonts w:eastAsia="Cambria"/>
          <w:b w:val="false"/>
          <w:bCs w:val="false"/>
          <w:color w:val="071F32"/>
          <w:kern w:val="2"/>
          <w:sz w:val="22"/>
          <w:szCs w:val="22"/>
          <w:lang w:val="fr-FR"/>
        </w:rPr>
        <w:t>La réglementation sur les stupéfiant</w:t>
      </w:r>
    </w:p>
    <w:p>
      <w:pPr>
        <w:pStyle w:val="Normal"/>
        <w:numPr>
          <w:ilvl w:val="0"/>
          <w:numId w:val="3"/>
        </w:numPr>
        <w:bidi w:val="0"/>
        <w:jc w:val="both"/>
        <w:rPr/>
      </w:pPr>
      <w:r>
        <w:rPr>
          <w:rFonts w:eastAsia="Cambria"/>
          <w:b w:val="false"/>
          <w:bCs w:val="false"/>
          <w:color w:val="071F32"/>
          <w:kern w:val="2"/>
          <w:sz w:val="22"/>
          <w:szCs w:val="22"/>
          <w:lang w:val="fr-FR"/>
        </w:rPr>
        <w:t>La lutte contre le brui</w:t>
      </w:r>
    </w:p>
    <w:p>
      <w:pPr>
        <w:pStyle w:val="Normal"/>
        <w:numPr>
          <w:ilvl w:val="0"/>
          <w:numId w:val="3"/>
        </w:numPr>
        <w:bidi w:val="0"/>
        <w:jc w:val="both"/>
        <w:rPr/>
      </w:pPr>
      <w:r>
        <w:rPr>
          <w:rFonts w:eastAsia="Cambria"/>
          <w:b w:val="false"/>
          <w:bCs w:val="false"/>
          <w:color w:val="071F32"/>
          <w:kern w:val="2"/>
          <w:sz w:val="22"/>
          <w:szCs w:val="22"/>
          <w:lang w:val="fr-FR"/>
        </w:rPr>
        <w:t>La revente de tabac</w:t>
      </w:r>
    </w:p>
    <w:p>
      <w:pPr>
        <w:pStyle w:val="Normal"/>
        <w:numPr>
          <w:ilvl w:val="0"/>
          <w:numId w:val="3"/>
        </w:numPr>
        <w:bidi w:val="0"/>
        <w:jc w:val="both"/>
        <w:rPr/>
      </w:pPr>
      <w:r>
        <w:rPr>
          <w:rFonts w:eastAsia="Cambria"/>
          <w:b w:val="false"/>
          <w:bCs w:val="false"/>
          <w:color w:val="071F32"/>
          <w:kern w:val="2"/>
          <w:sz w:val="22"/>
          <w:szCs w:val="22"/>
          <w:lang w:val="fr-FR"/>
        </w:rPr>
        <w:t>Les causes de fermetures administrative</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À l’issue de formation, une attestation valant permis d’exploiter pendant </w:t>
      </w:r>
      <w:r>
        <w:rPr>
          <w:rFonts w:eastAsia="Cambria"/>
          <w:b w:val="false"/>
          <w:bCs w:val="false"/>
          <w:color w:val="000000"/>
          <w:kern w:val="2"/>
          <w:sz w:val="22"/>
          <w:szCs w:val="22"/>
          <w:lang w:val="fr-FR"/>
        </w:rPr>
        <w:t xml:space="preserve">10 ans </w:t>
      </w:r>
      <w:r>
        <w:rPr>
          <w:rFonts w:eastAsia="Cambria"/>
          <w:b w:val="false"/>
          <w:bCs w:val="false"/>
          <w:color w:val="000000"/>
          <w:kern w:val="2"/>
          <w:sz w:val="22"/>
          <w:szCs w:val="22"/>
          <w:lang w:val="fr-FR"/>
        </w:rPr>
        <w:t xml:space="preserve">est délivré.  </w:t>
      </w:r>
    </w:p>
    <w:p>
      <w:pPr>
        <w:pStyle w:val="Normal"/>
        <w:bidi w:val="0"/>
        <w:jc w:val="both"/>
        <w:rPr>
          <w:rFonts w:ascii="Cambria" w:hAnsi="Cambria" w:eastAsia="Cambria"/>
          <w:kern w:val="2"/>
          <w:lang w:val="fr-FR"/>
        </w:rPr>
      </w:pPr>
      <w:r>
        <w:rPr>
          <w:b w:val="false"/>
          <w:bCs w:val="false"/>
          <w:color w:val="000000"/>
          <w:sz w:val="22"/>
          <w:szCs w:val="22"/>
        </w:rPr>
      </w:r>
    </w:p>
    <w:p>
      <w:pPr>
        <w:pStyle w:val="Normal"/>
        <w:bidi w:val="0"/>
        <w:jc w:val="both"/>
        <w:rPr>
          <w:b/>
          <w:b/>
          <w:bCs/>
          <w:color w:val="000000"/>
          <w:sz w:val="22"/>
          <w:szCs w:val="22"/>
        </w:rPr>
      </w:pPr>
      <w:r>
        <w:rPr>
          <w:rFonts w:eastAsia="Cambria"/>
          <w:b/>
          <w:bCs/>
          <w:color w:val="000000"/>
          <w:kern w:val="2"/>
          <w:sz w:val="22"/>
          <w:szCs w:val="22"/>
          <w:lang w:val="fr-FR"/>
        </w:rPr>
        <w:t>La loi Evin</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Depuis la </w:t>
      </w:r>
      <w:r>
        <w:rPr>
          <w:rFonts w:eastAsia="Cambria"/>
          <w:b w:val="false"/>
          <w:bCs w:val="false"/>
          <w:color w:val="000000"/>
          <w:kern w:val="2"/>
          <w:sz w:val="22"/>
          <w:szCs w:val="22"/>
          <w:lang w:val="fr-FR"/>
        </w:rPr>
        <w:t xml:space="preserve">loi du 10 janvier 1991, dite loi Evin </w:t>
      </w:r>
      <w:r>
        <w:rPr>
          <w:rFonts w:eastAsia="Cambria"/>
          <w:b w:val="false"/>
          <w:bCs w:val="false"/>
          <w:color w:val="000000"/>
          <w:kern w:val="2"/>
          <w:sz w:val="22"/>
          <w:szCs w:val="22"/>
          <w:lang w:val="fr-FR"/>
        </w:rPr>
        <w:t xml:space="preserve">, la publicité en faveur des boissons alcooliques est strictement encadrée par la loi, quant à son support et à son contenu. </w:t>
      </w:r>
      <w:r>
        <w:rPr>
          <w:rFonts w:eastAsia="Cambria"/>
          <w:b w:val="false"/>
          <w:bCs w:val="false"/>
          <w:color w:val="000000"/>
          <w:kern w:val="2"/>
          <w:sz w:val="22"/>
          <w:szCs w:val="22"/>
          <w:lang w:val="fr-FR"/>
        </w:rPr>
        <w:t>Ainsi, la propagande ou la publicité en faveur des boissons alcoolisées sont interdites sur les supports qui s’imposent à tous, notamment aux mineurs, tels que la télévision et le cinéma.</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Cette loi </w:t>
      </w:r>
      <w:r>
        <w:rPr>
          <w:rFonts w:eastAsia="Cambria"/>
          <w:b w:val="false"/>
          <w:bCs w:val="false"/>
          <w:color w:val="071F32"/>
          <w:kern w:val="2"/>
          <w:sz w:val="22"/>
          <w:szCs w:val="22"/>
          <w:lang w:val="fr-FR"/>
        </w:rPr>
        <w:t>pose le principe de l’interdiction de fumer dans les locaux à usage collectif.</w:t>
      </w:r>
    </w:p>
    <w:p>
      <w:pPr>
        <w:pStyle w:val="Normal"/>
        <w:bidi w:val="0"/>
        <w:jc w:val="both"/>
        <w:rPr>
          <w:rFonts w:ascii="Cambria" w:hAnsi="Cambria" w:eastAsia="Cambria"/>
          <w:color w:val="071F32"/>
          <w:kern w:val="2"/>
          <w:lang w:val="fr-FR"/>
        </w:rPr>
      </w:pPr>
      <w:r>
        <w:rPr>
          <w:b w:val="false"/>
          <w:bCs w:val="false"/>
          <w:color w:val="000000"/>
          <w:sz w:val="22"/>
          <w:szCs w:val="22"/>
        </w:rPr>
      </w:r>
    </w:p>
    <w:p>
      <w:pPr>
        <w:pStyle w:val="Normal"/>
        <w:bidi w:val="0"/>
        <w:jc w:val="both"/>
        <w:rPr>
          <w:b/>
          <w:b/>
          <w:bCs/>
          <w:color w:val="000000"/>
          <w:sz w:val="22"/>
          <w:szCs w:val="22"/>
        </w:rPr>
      </w:pPr>
      <w:r>
        <w:rPr>
          <w:rFonts w:eastAsia="Cambria"/>
          <w:b/>
          <w:bCs/>
          <w:color w:val="071F32"/>
          <w:kern w:val="2"/>
          <w:sz w:val="22"/>
          <w:szCs w:val="22"/>
          <w:lang w:val="fr-FR"/>
        </w:rPr>
        <w:t>L’ivresse publique et manifeste (IPM) :</w:t>
      </w:r>
    </w:p>
    <w:p>
      <w:pPr>
        <w:pStyle w:val="Normal"/>
        <w:bidi w:val="0"/>
        <w:jc w:val="both"/>
        <w:rPr>
          <w:b w:val="false"/>
          <w:b w:val="false"/>
          <w:bCs w:val="false"/>
          <w:color w:val="000000"/>
          <w:sz w:val="22"/>
          <w:szCs w:val="22"/>
        </w:rPr>
      </w:pPr>
      <w:r>
        <w:rPr>
          <w:rFonts w:eastAsia="Cambria"/>
          <w:b w:val="false"/>
          <w:bCs w:val="false"/>
          <w:color w:val="071F32"/>
          <w:kern w:val="2"/>
          <w:sz w:val="22"/>
          <w:szCs w:val="22"/>
          <w:lang w:val="fr-FR"/>
        </w:rPr>
        <w:t>Il s’agit d’une contravention de 2</w:t>
      </w:r>
      <w:r>
        <w:rPr>
          <w:rFonts w:eastAsia="Cambria"/>
          <w:b w:val="false"/>
          <w:bCs w:val="false"/>
          <w:color w:val="071F32"/>
          <w:kern w:val="2"/>
          <w:sz w:val="22"/>
          <w:szCs w:val="22"/>
          <w:vertAlign w:val="superscript"/>
          <w:lang w:val="fr-FR"/>
        </w:rPr>
        <w:t>e</w:t>
      </w:r>
      <w:r>
        <w:rPr>
          <w:rFonts w:eastAsia="Cambria"/>
          <w:b w:val="false"/>
          <w:bCs w:val="false"/>
          <w:color w:val="071F32"/>
          <w:kern w:val="2"/>
          <w:sz w:val="22"/>
          <w:szCs w:val="22"/>
          <w:lang w:val="fr-FR"/>
        </w:rPr>
        <w:t xml:space="preserve"> classe crée par une loi de 1873. Les policiers municipaux ne peuvent pas relever par procès-verbal cette contravention. </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Ce sont les forces de l’ordre qui sont en charge de l’interpellation et doivent établir l’ivresse de la personne de manière précise au regard de différent critères: </w:t>
      </w:r>
      <w:r>
        <w:rPr>
          <w:rFonts w:eastAsia="Cambria"/>
          <w:b w:val="false"/>
          <w:bCs w:val="false"/>
          <w:color w:val="000000"/>
          <w:kern w:val="2"/>
          <w:sz w:val="22"/>
          <w:szCs w:val="22"/>
          <w:lang w:val="fr-FR"/>
        </w:rPr>
        <w:t xml:space="preserve">de sa façon de se déplacer, de son élocution,de son regard. </w:t>
      </w:r>
    </w:p>
    <w:p>
      <w:pPr>
        <w:pStyle w:val="Normal"/>
        <w:bidi w:val="0"/>
        <w:jc w:val="both"/>
        <w:rPr>
          <w:b w:val="false"/>
          <w:b w:val="false"/>
          <w:bCs w:val="false"/>
          <w:color w:val="000000"/>
          <w:sz w:val="22"/>
          <w:szCs w:val="22"/>
        </w:rPr>
      </w:pPr>
      <w:r>
        <w:rPr>
          <w:b w:val="false"/>
          <w:bCs w:val="false"/>
          <w:color w:val="000000"/>
          <w:sz w:val="22"/>
          <w:szCs w:val="22"/>
        </w:rPr>
      </w:r>
    </w:p>
    <w:p>
      <w:pPr>
        <w:pStyle w:val="Normal"/>
        <w:bidi w:val="0"/>
        <w:jc w:val="both"/>
        <w:rPr>
          <w:b/>
          <w:b/>
          <w:bCs/>
          <w:color w:val="000000"/>
          <w:sz w:val="22"/>
          <w:szCs w:val="22"/>
        </w:rPr>
      </w:pPr>
      <w:r>
        <w:rPr>
          <w:b/>
          <w:bCs/>
          <w:color w:val="000000"/>
          <w:sz w:val="22"/>
          <w:szCs w:val="22"/>
        </w:rPr>
        <w:t>La loi du 27 décembre 2019 : l’amende administrative</w:t>
      </w:r>
    </w:p>
    <w:p>
      <w:pPr>
        <w:pStyle w:val="Normal"/>
        <w:bidi w:val="0"/>
        <w:jc w:val="both"/>
        <w:rPr>
          <w:b w:val="false"/>
          <w:b w:val="false"/>
          <w:bCs w:val="false"/>
          <w:color w:val="000000"/>
          <w:sz w:val="22"/>
          <w:szCs w:val="22"/>
        </w:rPr>
      </w:pPr>
      <w:r>
        <w:rPr>
          <w:rFonts w:eastAsia="Cambria"/>
          <w:b w:val="false"/>
          <w:bCs w:val="false"/>
          <w:color w:val="000000"/>
          <w:kern w:val="2"/>
          <w:sz w:val="22"/>
          <w:szCs w:val="22"/>
          <w:lang w:val="fr-FR"/>
        </w:rPr>
        <w:t xml:space="preserve">L’article L2212-2-1du CGCT prévoit que le non respect d’un arrêté municipal de restriction d’horaires pour la vente d’alcool à emporter peut donner lieu à une amende administrative d’un montant maximal de </w:t>
      </w:r>
      <w:r>
        <w:rPr>
          <w:rFonts w:eastAsia="Cambria"/>
          <w:b w:val="false"/>
          <w:bCs w:val="false"/>
          <w:color w:val="000000"/>
          <w:kern w:val="2"/>
          <w:sz w:val="22"/>
          <w:szCs w:val="22"/>
          <w:lang w:val="fr-FR"/>
        </w:rPr>
        <w:t xml:space="preserve">500 euros </w:t>
      </w:r>
    </w:p>
    <w:p>
      <w:pPr>
        <w:pStyle w:val="Normal"/>
        <w:bidi w:val="0"/>
        <w:jc w:val="both"/>
        <w:rPr>
          <w:b w:val="false"/>
          <w:b w:val="false"/>
          <w:bCs w:val="false"/>
          <w:color w:val="000000"/>
          <w:sz w:val="22"/>
          <w:szCs w:val="22"/>
        </w:rPr>
      </w:pPr>
      <w:r>
        <w:rPr>
          <w:b w:val="false"/>
          <w:bCs w:val="false"/>
          <w:color w:val="000000"/>
          <w:sz w:val="22"/>
          <w:szCs w:val="22"/>
        </w:rPr>
      </w:r>
    </w:p>
    <w:p>
      <w:pPr>
        <w:pStyle w:val="Normal"/>
        <w:bidi w:val="0"/>
        <w:jc w:val="both"/>
        <w:rPr>
          <w:b/>
          <w:b/>
          <w:bCs/>
          <w:color w:val="000000"/>
          <w:sz w:val="22"/>
          <w:szCs w:val="22"/>
        </w:rPr>
      </w:pPr>
      <w:r>
        <w:rPr>
          <w:b/>
          <w:bCs/>
          <w:color w:val="000000"/>
          <w:sz w:val="22"/>
          <w:szCs w:val="22"/>
        </w:rPr>
        <w:t>Les domaines de compétence des PM</w:t>
      </w:r>
    </w:p>
    <w:p>
      <w:pPr>
        <w:pStyle w:val="Normal"/>
        <w:bidi w:val="0"/>
        <w:jc w:val="both"/>
        <w:rPr>
          <w:b w:val="false"/>
          <w:b w:val="false"/>
          <w:bCs w:val="false"/>
          <w:color w:val="000000"/>
          <w:sz w:val="22"/>
          <w:szCs w:val="22"/>
        </w:rPr>
      </w:pPr>
      <w:r>
        <w:rPr>
          <w:rFonts w:eastAsia="Cambria"/>
          <w:b w:val="false"/>
          <w:bCs w:val="false"/>
          <w:color w:val="071F32"/>
          <w:kern w:val="2"/>
          <w:sz w:val="22"/>
          <w:szCs w:val="22"/>
          <w:lang w:val="fr-FR"/>
        </w:rPr>
        <w:t>L</w:t>
      </w:r>
      <w:r>
        <w:rPr>
          <w:rFonts w:eastAsia="Cambria"/>
          <w:b w:val="false"/>
          <w:bCs w:val="false"/>
          <w:color w:val="071F32"/>
          <w:kern w:val="2"/>
          <w:sz w:val="22"/>
          <w:szCs w:val="22"/>
          <w:lang w:val="fr-FR"/>
        </w:rPr>
        <w:t>e maire peut fixer par arrêté une plage horaire, qui ne peut être établie en deçà de 20 heures et au-delà de 8 heures, durant laquelle la vente à emporter de boissons alcooliques sur le territoire de sa commune est interdite</w:t>
      </w:r>
    </w:p>
    <w:p>
      <w:pPr>
        <w:pStyle w:val="Normal"/>
        <w:bidi w:val="0"/>
        <w:jc w:val="both"/>
        <w:rPr>
          <w:b w:val="false"/>
          <w:b w:val="false"/>
          <w:bCs w:val="false"/>
          <w:sz w:val="22"/>
          <w:szCs w:val="22"/>
        </w:rPr>
      </w:pPr>
      <w:r>
        <w:rPr>
          <w:rFonts w:eastAsia="Cambria"/>
          <w:b w:val="false"/>
          <w:bCs w:val="false"/>
          <w:color w:val="071F32"/>
          <w:kern w:val="2"/>
          <w:sz w:val="22"/>
          <w:szCs w:val="22"/>
          <w:lang w:val="fr-FR"/>
        </w:rPr>
        <w:t>Cette disposition ouvre au maire la possibilité de fixer une plage horaire limite de vente de boissons alcoolisées sur le territoire de sa commune, au titre de la prévention des troubles à l’ordre public</w:t>
      </w:r>
    </w:p>
    <w:p>
      <w:pPr>
        <w:pStyle w:val="Normal"/>
        <w:bidi w:val="0"/>
        <w:jc w:val="both"/>
        <w:rPr>
          <w:b w:val="false"/>
          <w:b w:val="false"/>
          <w:bCs w:val="false"/>
          <w:color w:val="000000"/>
          <w:sz w:val="22"/>
          <w:szCs w:val="22"/>
        </w:rPr>
      </w:pPr>
      <w:r>
        <w:rPr>
          <w:b w:val="false"/>
          <w:bCs w:val="false"/>
          <w:color w:val="000000"/>
          <w:sz w:val="22"/>
          <w:szCs w:val="22"/>
        </w:rPr>
        <w:t>Exemples d’infractions :</w:t>
      </w:r>
    </w:p>
    <w:p>
      <w:pPr>
        <w:pStyle w:val="Normal"/>
        <w:numPr>
          <w:ilvl w:val="0"/>
          <w:numId w:val="4"/>
        </w:numPr>
        <w:bidi w:val="0"/>
        <w:jc w:val="both"/>
        <w:rPr/>
      </w:pPr>
      <w:r>
        <w:rPr>
          <w:rFonts w:eastAsia="Cambria"/>
          <w:b w:val="false"/>
          <w:bCs w:val="false"/>
          <w:color w:val="071F32"/>
          <w:kern w:val="2"/>
          <w:sz w:val="22"/>
          <w:szCs w:val="22"/>
          <w:lang w:val="fr-FR"/>
        </w:rPr>
        <w:t xml:space="preserve">L’absence du panneau de licence à l’extérieur de l’établissement ou de l’affiche relative à la répression de l’ivresse publique à l’intérieur </w:t>
      </w:r>
    </w:p>
    <w:p>
      <w:pPr>
        <w:pStyle w:val="Normal"/>
        <w:numPr>
          <w:ilvl w:val="0"/>
          <w:numId w:val="4"/>
        </w:numPr>
        <w:bidi w:val="0"/>
        <w:jc w:val="both"/>
        <w:rPr>
          <w:sz w:val="22"/>
          <w:szCs w:val="22"/>
        </w:rPr>
      </w:pPr>
      <w:r>
        <w:rPr>
          <w:rFonts w:eastAsia="Cambria"/>
          <w:b w:val="false"/>
          <w:bCs w:val="false"/>
          <w:color w:val="071F32"/>
          <w:kern w:val="2"/>
          <w:sz w:val="22"/>
          <w:szCs w:val="22"/>
          <w:lang w:val="fr-FR"/>
        </w:rPr>
        <w:t>Servir un client d</w:t>
      </w:r>
      <w:r>
        <w:rPr>
          <w:rFonts w:eastAsia="Cambria"/>
          <w:color w:val="071F32"/>
          <w:kern w:val="2"/>
          <w:sz w:val="22"/>
          <w:szCs w:val="22"/>
          <w:lang w:val="fr-FR"/>
        </w:rPr>
        <w:t xml:space="preserve">éjà ivre sous peine de contravention </w:t>
      </w:r>
    </w:p>
    <w:p>
      <w:pPr>
        <w:pStyle w:val="Normal"/>
        <w:numPr>
          <w:ilvl w:val="0"/>
          <w:numId w:val="4"/>
        </w:numPr>
        <w:bidi w:val="0"/>
        <w:jc w:val="both"/>
        <w:rPr/>
      </w:pPr>
      <w:r>
        <w:rPr>
          <w:rFonts w:eastAsia="Cambria"/>
          <w:b w:val="false"/>
          <w:bCs w:val="false"/>
          <w:color w:val="071F32"/>
          <w:kern w:val="2"/>
          <w:sz w:val="22"/>
          <w:szCs w:val="22"/>
          <w:lang w:val="fr-FR"/>
        </w:rPr>
        <w:t>Vendre des boissons alcooliques à un mineur</w:t>
      </w:r>
    </w:p>
    <w:p>
      <w:pPr>
        <w:pStyle w:val="Normal"/>
        <w:numPr>
          <w:ilvl w:val="0"/>
          <w:numId w:val="4"/>
        </w:numPr>
        <w:bidi w:val="0"/>
        <w:jc w:val="both"/>
        <w:rPr/>
      </w:pPr>
      <w:r>
        <w:rPr>
          <w:rFonts w:eastAsia="Cambria"/>
          <w:b w:val="false"/>
          <w:bCs w:val="false"/>
          <w:color w:val="071F32"/>
          <w:kern w:val="2"/>
          <w:sz w:val="22"/>
          <w:szCs w:val="22"/>
          <w:lang w:val="fr-FR"/>
        </w:rPr>
        <w:t>L’absence d’éthylotests dans les débits de boissons alcoolisées à emporter</w:t>
      </w:r>
    </w:p>
    <w:p>
      <w:pPr>
        <w:pStyle w:val="Normal"/>
        <w:numPr>
          <w:ilvl w:val="0"/>
          <w:numId w:val="4"/>
        </w:numPr>
        <w:bidi w:val="0"/>
        <w:jc w:val="both"/>
        <w:rPr>
          <w:b w:val="false"/>
          <w:b w:val="false"/>
          <w:bCs w:val="false"/>
          <w:sz w:val="22"/>
          <w:szCs w:val="22"/>
        </w:rPr>
      </w:pPr>
      <w:r>
        <w:rPr>
          <w:rFonts w:eastAsia="Cambria"/>
          <w:b w:val="false"/>
          <w:bCs w:val="false"/>
          <w:color w:val="071F32"/>
          <w:kern w:val="2"/>
          <w:sz w:val="22"/>
          <w:szCs w:val="22"/>
          <w:lang w:val="fr-FR"/>
        </w:rPr>
        <w:t>la présence de clients après l’heure de fermeture d’un débit de boissons est une contravention de la 2eme classe pour chaque clients.</w:t>
      </w:r>
    </w:p>
    <w:p>
      <w:pPr>
        <w:pStyle w:val="Normal"/>
        <w:bidi w:val="0"/>
        <w:spacing w:before="0" w:after="240"/>
        <w:jc w:val="both"/>
        <w:rPr>
          <w:rFonts w:ascii="Cambria" w:hAnsi="Cambria" w:eastAsia="Cambria"/>
          <w:color w:val="071F32"/>
          <w:kern w:val="2"/>
          <w:lang w:val="fr-FR"/>
        </w:rPr>
      </w:pPr>
      <w:r>
        <w:rPr>
          <w:b w:val="false"/>
          <w:bCs w:val="false"/>
          <w:sz w:val="22"/>
          <w:szCs w:val="22"/>
        </w:rPr>
      </w:r>
    </w:p>
    <w:sectPr>
      <w:footerReference w:type="default" r:id="rId4"/>
      <w:type w:val="nextPage"/>
      <w:pgSz w:w="11906" w:h="16838"/>
      <w:pgMar w:left="1418" w:right="1418" w:header="0" w:top="1418" w:footer="709" w:bottom="1418"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Unicode MS">
    <w:charset w:val="00"/>
    <w:family w:val="roman"/>
    <w:pitch w:val="variable"/>
  </w:font>
  <w:font w:name="Montserrat">
    <w:charset w:val="00"/>
    <w:family w:val="roman"/>
    <w:pitch w:val="variable"/>
  </w:font>
  <w:font w:name="Times">
    <w:altName w:val="Times New Roman"/>
    <w:charset w:val="01"/>
    <w:family w:val="auto"/>
    <w:pitch w:val="default"/>
  </w:font>
  <w:font w:name="Wingdings">
    <w:charset w:val="02"/>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6672674"/>
    </w:sdtPr>
    <w:sdtContent>
      <w:p>
        <w:pPr>
          <w:pStyle w:val="Pieddepage"/>
          <w:jc w:val="center"/>
          <w:rPr/>
        </w:pPr>
        <w:r>
          <w:rPr/>
          <w:fldChar w:fldCharType="begin"/>
        </w:r>
        <w:r>
          <w:rPr/>
          <w:instrText> PAGE </w:instrText>
        </w:r>
        <w:r>
          <w:rPr/>
          <w:fldChar w:fldCharType="separate"/>
        </w:r>
        <w:r>
          <w:rPr/>
          <w:t>3</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5"/>
      <w:numFmt w:val="lowerLetter"/>
      <w:lvlText w:val="%1)"/>
      <w:lvlJc w:val="lef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Times" w:hAnsi="Times" w:cs="Time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Ø"/>
      <w:lvlJc w:val="left"/>
      <w:pPr>
        <w:tabs>
          <w:tab w:val="num" w:pos="360"/>
        </w:tabs>
        <w:ind w:left="360" w:hanging="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6509"/>
    <w:pPr>
      <w:widowControl/>
      <w:bidi w:val="0"/>
      <w:spacing w:lineRule="auto" w:line="240" w:before="0" w:after="240"/>
      <w:jc w:val="both"/>
    </w:pPr>
    <w:rPr>
      <w:rFonts w:ascii="Cambria" w:hAnsi="Cambria" w:asciiTheme="majorHAnsi" w:hAnsiTheme="majorHAnsi" w:eastAsia="Calibri" w:cs=""/>
      <w:color w:val="auto"/>
      <w:kern w:val="0"/>
      <w:sz w:val="22"/>
      <w:szCs w:val="22"/>
      <w:lang w:val="fr-FR" w:eastAsia="en-US" w:bidi="ar-SA"/>
    </w:rPr>
  </w:style>
  <w:style w:type="paragraph" w:styleId="Titre1">
    <w:name w:val="Heading 1"/>
    <w:basedOn w:val="Normal"/>
    <w:next w:val="Normal"/>
    <w:link w:val="Titre1Car"/>
    <w:uiPriority w:val="9"/>
    <w:qFormat/>
    <w:rsid w:val="00106509"/>
    <w:pPr>
      <w:keepNext w:val="true"/>
      <w:keepLines/>
      <w:spacing w:before="0" w:after="360"/>
      <w:outlineLvl w:val="0"/>
    </w:pPr>
    <w:rPr>
      <w:rFonts w:ascii="Cambria" w:hAnsi="Cambria" w:eastAsia="" w:cs="" w:cstheme="majorBidi" w:eastAsiaTheme="majorEastAsia"/>
      <w:b/>
      <w:caps/>
      <w:color w:val="C0504D" w:themeColor="accent2"/>
      <w:sz w:val="36"/>
      <w:szCs w:val="32"/>
    </w:rPr>
  </w:style>
  <w:style w:type="paragraph" w:styleId="Titre2">
    <w:name w:val="Heading 2"/>
    <w:basedOn w:val="Normal"/>
    <w:next w:val="Normal"/>
    <w:link w:val="Titre2Car"/>
    <w:uiPriority w:val="9"/>
    <w:unhideWhenUsed/>
    <w:qFormat/>
    <w:rsid w:val="00106509"/>
    <w:pPr>
      <w:keepNext w:val="true"/>
      <w:keepLines/>
      <w:numPr>
        <w:ilvl w:val="0"/>
        <w:numId w:val="1"/>
      </w:numPr>
      <w:spacing w:before="0" w:after="360"/>
      <w:ind w:left="714" w:hanging="357"/>
    </w:pPr>
    <w:rPr>
      <w:rFonts w:eastAsia="" w:cs="" w:cstheme="majorBidi" w:eastAsiaTheme="majorEastAsia"/>
      <w:b/>
      <w:bCs/>
      <w:caps/>
      <w:color w:val="000000" w:themeColor="text1"/>
      <w:sz w:val="30"/>
      <w:szCs w:val="26"/>
      <w:u w:val="single"/>
    </w:rPr>
  </w:style>
  <w:style w:type="paragraph" w:styleId="Titre3">
    <w:name w:val="Heading 3"/>
    <w:basedOn w:val="Normal"/>
    <w:next w:val="Normal"/>
    <w:link w:val="Titre3Car"/>
    <w:uiPriority w:val="9"/>
    <w:unhideWhenUsed/>
    <w:qFormat/>
    <w:rsid w:val="00106509"/>
    <w:pPr>
      <w:keepNext w:val="true"/>
      <w:keepLines/>
      <w:numPr>
        <w:ilvl w:val="0"/>
        <w:numId w:val="1"/>
      </w:numPr>
      <w:spacing w:before="0" w:after="360"/>
      <w:ind w:left="714" w:hanging="357"/>
    </w:pPr>
    <w:rPr>
      <w:rFonts w:eastAsia="" w:cs="" w:cstheme="majorBidi" w:eastAsiaTheme="majorEastAsia"/>
      <w:b/>
      <w:bCs/>
      <w:i/>
      <w:caps/>
      <w:color w:val="1F497D" w:themeColor="text2"/>
      <w:sz w:val="28"/>
    </w:rPr>
  </w:style>
  <w:style w:type="paragraph" w:styleId="Titre4">
    <w:name w:val="Heading 4"/>
    <w:basedOn w:val="Normal"/>
    <w:next w:val="Normal"/>
    <w:link w:val="Titre4Car"/>
    <w:uiPriority w:val="9"/>
    <w:unhideWhenUsed/>
    <w:qFormat/>
    <w:rsid w:val="00106509"/>
    <w:pPr>
      <w:keepNext w:val="true"/>
      <w:keepLines/>
      <w:numPr>
        <w:ilvl w:val="0"/>
        <w:numId w:val="1"/>
      </w:numPr>
      <w:ind w:left="1094" w:hanging="357"/>
    </w:pPr>
    <w:rPr>
      <w:rFonts w:eastAsia="" w:cs="" w:cstheme="majorBidi" w:eastAsiaTheme="majorEastAsia"/>
      <w:b/>
      <w:bCs/>
      <w:iCs/>
      <w:color w:val="C0504D" w:themeColor="accent2"/>
      <w:sz w:val="26"/>
      <w:u w:val="single"/>
    </w:rPr>
  </w:style>
  <w:style w:type="paragraph" w:styleId="Titre5">
    <w:name w:val="Heading 5"/>
    <w:basedOn w:val="Normal"/>
    <w:next w:val="Normal"/>
    <w:link w:val="Titre5Car"/>
    <w:uiPriority w:val="9"/>
    <w:unhideWhenUsed/>
    <w:qFormat/>
    <w:rsid w:val="00106509"/>
    <w:pPr>
      <w:keepNext w:val="true"/>
      <w:keepLines/>
      <w:numPr>
        <w:ilvl w:val="0"/>
        <w:numId w:val="1"/>
      </w:numPr>
      <w:spacing w:before="120" w:after="240"/>
      <w:ind w:left="714" w:hanging="357"/>
      <w:outlineLvl w:val="0"/>
    </w:pPr>
    <w:rPr>
      <w:rFonts w:eastAsia="" w:cs="" w:cstheme="majorBidi" w:eastAsiaTheme="majorEastAsia"/>
      <w:b/>
      <w:color w:val="243F60" w:themeColor="accent1" w:themeShade="7f"/>
      <w:sz w:val="24"/>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106509"/>
    <w:rPr>
      <w:rFonts w:ascii="Cambria" w:hAnsi="Cambria" w:eastAsia="" w:cs="" w:cstheme="majorBidi" w:eastAsiaTheme="majorEastAsia"/>
      <w:b/>
      <w:caps/>
      <w:color w:val="C0504D" w:themeColor="accent2"/>
      <w:sz w:val="36"/>
      <w:szCs w:val="32"/>
    </w:rPr>
  </w:style>
  <w:style w:type="character" w:styleId="Titre2Car" w:customStyle="1">
    <w:name w:val="Titre 2 Car"/>
    <w:basedOn w:val="DefaultParagraphFont"/>
    <w:link w:val="Titre2"/>
    <w:uiPriority w:val="9"/>
    <w:qFormat/>
    <w:rsid w:val="00106509"/>
    <w:rPr>
      <w:rFonts w:ascii="Cambria" w:hAnsi="Cambria" w:eastAsia="" w:cs="" w:asciiTheme="majorHAnsi" w:cstheme="majorBidi" w:eastAsiaTheme="majorEastAsia" w:hAnsiTheme="majorHAnsi"/>
      <w:b/>
      <w:bCs/>
      <w:caps/>
      <w:color w:val="000000" w:themeColor="text1"/>
      <w:sz w:val="30"/>
      <w:szCs w:val="26"/>
      <w:u w:val="single"/>
    </w:rPr>
  </w:style>
  <w:style w:type="character" w:styleId="Titre3Car" w:customStyle="1">
    <w:name w:val="Titre 3 Car"/>
    <w:basedOn w:val="DefaultParagraphFont"/>
    <w:link w:val="Titre3"/>
    <w:uiPriority w:val="9"/>
    <w:qFormat/>
    <w:rsid w:val="00106509"/>
    <w:rPr>
      <w:rFonts w:ascii="Cambria" w:hAnsi="Cambria" w:eastAsia="" w:cs="" w:asciiTheme="majorHAnsi" w:cstheme="majorBidi" w:eastAsiaTheme="majorEastAsia" w:hAnsiTheme="majorHAnsi"/>
      <w:b/>
      <w:bCs/>
      <w:i/>
      <w:caps/>
      <w:color w:val="1F497D" w:themeColor="text2"/>
      <w:sz w:val="28"/>
    </w:rPr>
  </w:style>
  <w:style w:type="character" w:styleId="Titre4Car" w:customStyle="1">
    <w:name w:val="Titre 4 Car"/>
    <w:basedOn w:val="DefaultParagraphFont"/>
    <w:link w:val="Titre4"/>
    <w:uiPriority w:val="9"/>
    <w:qFormat/>
    <w:rsid w:val="00106509"/>
    <w:rPr>
      <w:rFonts w:ascii="Cambria" w:hAnsi="Cambria" w:eastAsia="" w:cs="" w:asciiTheme="majorHAnsi" w:cstheme="majorBidi" w:eastAsiaTheme="majorEastAsia" w:hAnsiTheme="majorHAnsi"/>
      <w:b/>
      <w:bCs/>
      <w:iCs/>
      <w:color w:val="C0504D" w:themeColor="accent2"/>
      <w:sz w:val="26"/>
      <w:u w:val="single"/>
    </w:rPr>
  </w:style>
  <w:style w:type="character" w:styleId="Titre5Car" w:customStyle="1">
    <w:name w:val="Titre 5 Car"/>
    <w:basedOn w:val="DefaultParagraphFont"/>
    <w:link w:val="Titre5"/>
    <w:uiPriority w:val="9"/>
    <w:qFormat/>
    <w:rsid w:val="00106509"/>
    <w:rPr>
      <w:rFonts w:ascii="Cambria" w:hAnsi="Cambria" w:eastAsia="" w:cs="" w:asciiTheme="majorHAnsi" w:cstheme="majorBidi" w:eastAsiaTheme="majorEastAsia" w:hAnsiTheme="majorHAnsi"/>
      <w:b/>
      <w:color w:val="243F60" w:themeColor="accent1" w:themeShade="7f"/>
      <w:sz w:val="24"/>
    </w:rPr>
  </w:style>
  <w:style w:type="character" w:styleId="Strong">
    <w:name w:val="Strong"/>
    <w:basedOn w:val="DefaultParagraphFont"/>
    <w:uiPriority w:val="22"/>
    <w:qFormat/>
    <w:rsid w:val="00e16e24"/>
    <w:rPr>
      <w:b/>
      <w:bCs/>
    </w:rPr>
  </w:style>
  <w:style w:type="character" w:styleId="LienInternet">
    <w:name w:val="Lien Internet"/>
    <w:basedOn w:val="DefaultParagraphFont"/>
    <w:uiPriority w:val="99"/>
    <w:unhideWhenUsed/>
    <w:rsid w:val="00e16e24"/>
    <w:rPr>
      <w:color w:val="0000FF" w:themeColor="hyperlink"/>
      <w:u w:val="single"/>
    </w:rPr>
  </w:style>
  <w:style w:type="character" w:styleId="Ampwp0b51331" w:customStyle="1">
    <w:name w:val="amp-wp-0b51331"/>
    <w:basedOn w:val="DefaultParagraphFont"/>
    <w:qFormat/>
    <w:rsid w:val="00e16e24"/>
    <w:rPr/>
  </w:style>
  <w:style w:type="character" w:styleId="Ampwpf6bf23d" w:customStyle="1">
    <w:name w:val="amp-wp-f6bf23d"/>
    <w:basedOn w:val="DefaultParagraphFont"/>
    <w:qFormat/>
    <w:rsid w:val="00e16e24"/>
    <w:rPr/>
  </w:style>
  <w:style w:type="character" w:styleId="Documentpreview" w:customStyle="1">
    <w:name w:val="document__preview"/>
    <w:basedOn w:val="DefaultParagraphFont"/>
    <w:qFormat/>
    <w:rsid w:val="00e16e24"/>
    <w:rPr/>
  </w:style>
  <w:style w:type="character" w:styleId="EntteCar" w:customStyle="1">
    <w:name w:val="En-tête Car"/>
    <w:basedOn w:val="DefaultParagraphFont"/>
    <w:link w:val="En-tte"/>
    <w:qFormat/>
    <w:rsid w:val="00e16e24"/>
    <w:rPr>
      <w:rFonts w:ascii="Cambria" w:hAnsi="Cambria" w:asciiTheme="majorHAnsi" w:hAnsiTheme="majorHAnsi"/>
    </w:rPr>
  </w:style>
  <w:style w:type="character" w:styleId="Date1" w:customStyle="1">
    <w:name w:val="Date1"/>
    <w:basedOn w:val="DefaultParagraphFont"/>
    <w:qFormat/>
    <w:rsid w:val="00e16e24"/>
    <w:rPr/>
  </w:style>
  <w:style w:type="character" w:styleId="TextedebullesCar" w:customStyle="1">
    <w:name w:val="Texte de bulles Car"/>
    <w:basedOn w:val="DefaultParagraphFont"/>
    <w:link w:val="Textedebulles"/>
    <w:uiPriority w:val="99"/>
    <w:semiHidden/>
    <w:qFormat/>
    <w:rsid w:val="00677817"/>
    <w:rPr>
      <w:rFonts w:ascii="Tahoma" w:hAnsi="Tahoma" w:cs="Tahoma"/>
      <w:sz w:val="16"/>
      <w:szCs w:val="16"/>
    </w:rPr>
  </w:style>
  <w:style w:type="character" w:styleId="PieddepageCar" w:customStyle="1">
    <w:name w:val="Pied de page Car"/>
    <w:basedOn w:val="DefaultParagraphFont"/>
    <w:link w:val="Pieddepage"/>
    <w:uiPriority w:val="99"/>
    <w:qFormat/>
    <w:rsid w:val="003c1616"/>
    <w:rPr>
      <w:rFonts w:ascii="Cambria" w:hAnsi="Cambria" w:asciiTheme="majorHAnsi" w:hAnsiTheme="majorHAnsi"/>
    </w:rPr>
  </w:style>
  <w:style w:type="character" w:styleId="Sronly" w:customStyle="1">
    <w:name w:val="sr-only"/>
    <w:basedOn w:val="DefaultParagraphFont"/>
    <w:qFormat/>
    <w:rsid w:val="00015860"/>
    <w:rPr/>
  </w:style>
  <w:style w:type="character" w:styleId="ParagraphedelisteCar" w:customStyle="1">
    <w:name w:val="Paragraphe de liste Car"/>
    <w:basedOn w:val="DefaultParagraphFont"/>
    <w:link w:val="Paragraphedeliste"/>
    <w:uiPriority w:val="34"/>
    <w:qFormat/>
    <w:rsid w:val="00a2089f"/>
    <w:rPr>
      <w:rFonts w:ascii="Cambria" w:hAnsi="Cambria" w:asciiTheme="majorHAnsi" w:hAnsiTheme="majorHAnsi"/>
    </w:rPr>
  </w:style>
  <w:style w:type="character" w:styleId="Hgkelc" w:customStyle="1">
    <w:name w:val="hgkelc"/>
    <w:basedOn w:val="DefaultParagraphFont"/>
    <w:qFormat/>
    <w:rsid w:val="00ba7332"/>
    <w:rPr/>
  </w:style>
  <w:style w:type="character" w:styleId="Annotationreference">
    <w:name w:val="annotation reference"/>
    <w:basedOn w:val="DefaultParagraphFont"/>
    <w:uiPriority w:val="99"/>
    <w:semiHidden/>
    <w:unhideWhenUsed/>
    <w:qFormat/>
    <w:rsid w:val="00c31716"/>
    <w:rPr>
      <w:sz w:val="16"/>
      <w:szCs w:val="16"/>
    </w:rPr>
  </w:style>
  <w:style w:type="character" w:styleId="CommentaireCar" w:customStyle="1">
    <w:name w:val="Commentaire Car"/>
    <w:basedOn w:val="DefaultParagraphFont"/>
    <w:link w:val="Commentaire"/>
    <w:uiPriority w:val="99"/>
    <w:semiHidden/>
    <w:qFormat/>
    <w:rsid w:val="00c31716"/>
    <w:rPr>
      <w:rFonts w:ascii="Cambria" w:hAnsi="Cambria" w:asciiTheme="majorHAnsi" w:hAnsiTheme="majorHAnsi"/>
      <w:sz w:val="20"/>
      <w:szCs w:val="20"/>
    </w:rPr>
  </w:style>
  <w:style w:type="character" w:styleId="ObjetducommentaireCar" w:customStyle="1">
    <w:name w:val="Objet du commentaire Car"/>
    <w:basedOn w:val="CommentaireCar"/>
    <w:link w:val="Objetducommentaire"/>
    <w:uiPriority w:val="99"/>
    <w:semiHidden/>
    <w:qFormat/>
    <w:rsid w:val="00c31716"/>
    <w:rPr>
      <w:rFonts w:ascii="Cambria" w:hAnsi="Cambria" w:asciiTheme="majorHAnsi" w:hAnsiTheme="majorHAnsi"/>
      <w:b/>
      <w:bCs/>
      <w:sz w:val="20"/>
      <w:szCs w:val="20"/>
    </w:rPr>
  </w:style>
  <w:style w:type="character" w:styleId="LienInternetvisit">
    <w:name w:val="Lien Internet visité"/>
    <w:basedOn w:val="DefaultParagraphFont"/>
    <w:uiPriority w:val="99"/>
    <w:semiHidden/>
    <w:unhideWhenUsed/>
    <w:rsid w:val="0050164f"/>
    <w:rPr>
      <w:color w:val="800080" w:themeColor="followedHyperlink"/>
      <w:u w:val="single"/>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link w:val="ParagraphedelisteCar"/>
    <w:uiPriority w:val="34"/>
    <w:qFormat/>
    <w:rsid w:val="00e16e24"/>
    <w:pPr>
      <w:spacing w:before="0" w:after="240"/>
      <w:ind w:left="720" w:hanging="0"/>
      <w:contextualSpacing/>
    </w:pPr>
    <w:rPr/>
  </w:style>
  <w:style w:type="paragraph" w:styleId="NormalWeb">
    <w:name w:val="Normal (Web)"/>
    <w:basedOn w:val="Normal"/>
    <w:uiPriority w:val="99"/>
    <w:semiHidden/>
    <w:qFormat/>
    <w:rsid w:val="00e16e24"/>
    <w:pPr>
      <w:spacing w:beforeAutospacing="1" w:afterAutospacing="1"/>
      <w:jc w:val="left"/>
    </w:pPr>
    <w:rPr>
      <w:rFonts w:ascii="Arial Unicode MS" w:hAnsi="Arial Unicode MS" w:eastAsia="Arial Unicode MS" w:cs="Arial Unicode MS"/>
      <w:sz w:val="24"/>
      <w:szCs w:val="24"/>
      <w:lang w:eastAsia="fr-FR"/>
    </w:rPr>
  </w:style>
  <w:style w:type="paragraph" w:styleId="Chapo" w:customStyle="1">
    <w:name w:val="chapo"/>
    <w:basedOn w:val="Normal"/>
    <w:qFormat/>
    <w:rsid w:val="00e16e24"/>
    <w:pPr>
      <w:spacing w:before="0" w:afterAutospacing="1"/>
      <w:jc w:val="left"/>
    </w:pPr>
    <w:rPr>
      <w:rFonts w:ascii="Times New Roman" w:hAnsi="Times New Roman" w:eastAsia="Times New Roman" w:cs="Times New Roman"/>
      <w:sz w:val="24"/>
      <w:szCs w:val="24"/>
      <w:lang w:eastAsia="fr-FR"/>
    </w:rPr>
  </w:style>
  <w:style w:type="paragraph" w:styleId="Ampwp92243f9" w:customStyle="1">
    <w:name w:val="amp-wp-92243f9"/>
    <w:basedOn w:val="Normal"/>
    <w:uiPriority w:val="99"/>
    <w:semiHidden/>
    <w:qFormat/>
    <w:rsid w:val="00e16e24"/>
    <w:pPr>
      <w:spacing w:beforeAutospacing="1" w:afterAutospacing="1"/>
      <w:jc w:val="left"/>
    </w:pPr>
    <w:rPr>
      <w:rFonts w:ascii="Times New Roman" w:hAnsi="Times New Roman" w:cs="Times New Roman"/>
      <w:sz w:val="24"/>
      <w:szCs w:val="24"/>
      <w:lang w:eastAsia="fr-FR"/>
    </w:rPr>
  </w:style>
  <w:style w:type="paragraph" w:styleId="Considerant" w:customStyle="1">
    <w:name w:val="considerant"/>
    <w:basedOn w:val="Normal"/>
    <w:qFormat/>
    <w:rsid w:val="00e16e24"/>
    <w:pPr>
      <w:spacing w:beforeAutospacing="1" w:afterAutospacing="1"/>
      <w:jc w:val="left"/>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rPr/>
  </w:style>
  <w:style w:type="paragraph" w:styleId="Entte">
    <w:name w:val="Header"/>
    <w:basedOn w:val="Normal"/>
    <w:link w:val="En-tteCar"/>
    <w:unhideWhenUsed/>
    <w:rsid w:val="00e16e24"/>
    <w:pPr>
      <w:tabs>
        <w:tab w:val="clear" w:pos="720"/>
        <w:tab w:val="center" w:pos="4536" w:leader="none"/>
        <w:tab w:val="right" w:pos="9072" w:leader="none"/>
      </w:tabs>
      <w:spacing w:before="0" w:after="0"/>
    </w:pPr>
    <w:rPr/>
  </w:style>
  <w:style w:type="paragraph" w:styleId="BalloonText">
    <w:name w:val="Balloon Text"/>
    <w:basedOn w:val="Normal"/>
    <w:link w:val="TextedebullesCar"/>
    <w:uiPriority w:val="99"/>
    <w:semiHidden/>
    <w:unhideWhenUsed/>
    <w:qFormat/>
    <w:rsid w:val="00677817"/>
    <w:pPr>
      <w:spacing w:before="0" w:after="0"/>
    </w:pPr>
    <w:rPr>
      <w:rFonts w:ascii="Tahoma" w:hAnsi="Tahoma" w:cs="Tahoma"/>
      <w:sz w:val="16"/>
      <w:szCs w:val="16"/>
    </w:rPr>
  </w:style>
  <w:style w:type="paragraph" w:styleId="Pieddepage">
    <w:name w:val="Footer"/>
    <w:basedOn w:val="Normal"/>
    <w:link w:val="PieddepageCar"/>
    <w:uiPriority w:val="99"/>
    <w:unhideWhenUsed/>
    <w:rsid w:val="003c1616"/>
    <w:pPr>
      <w:tabs>
        <w:tab w:val="clear" w:pos="720"/>
        <w:tab w:val="center" w:pos="4536" w:leader="none"/>
        <w:tab w:val="right" w:pos="9072" w:leader="none"/>
      </w:tabs>
      <w:spacing w:before="0" w:after="0"/>
    </w:pPr>
    <w:rPr/>
  </w:style>
  <w:style w:type="paragraph" w:styleId="Tabledesmatiresniveau1">
    <w:name w:val="TOC 1"/>
    <w:basedOn w:val="Normal"/>
    <w:next w:val="Normal"/>
    <w:autoRedefine/>
    <w:uiPriority w:val="39"/>
    <w:unhideWhenUsed/>
    <w:rsid w:val="00387ca2"/>
    <w:pPr>
      <w:spacing w:before="0" w:after="100"/>
    </w:pPr>
    <w:rPr/>
  </w:style>
  <w:style w:type="paragraph" w:styleId="Tabledesmatiresniveau2">
    <w:name w:val="TOC 2"/>
    <w:basedOn w:val="Normal"/>
    <w:next w:val="Normal"/>
    <w:autoRedefine/>
    <w:uiPriority w:val="39"/>
    <w:unhideWhenUsed/>
    <w:rsid w:val="00387ca2"/>
    <w:pPr>
      <w:spacing w:before="0" w:after="100"/>
      <w:ind w:left="220" w:hanging="0"/>
    </w:pPr>
    <w:rPr/>
  </w:style>
  <w:style w:type="paragraph" w:styleId="Tabledesmatiresniveau3">
    <w:name w:val="TOC 3"/>
    <w:basedOn w:val="Normal"/>
    <w:next w:val="Normal"/>
    <w:autoRedefine/>
    <w:uiPriority w:val="39"/>
    <w:unhideWhenUsed/>
    <w:rsid w:val="00387ca2"/>
    <w:pPr>
      <w:spacing w:before="0" w:after="100"/>
      <w:ind w:left="440" w:hanging="0"/>
    </w:pPr>
    <w:rPr/>
  </w:style>
  <w:style w:type="paragraph" w:styleId="Tabledesmatiresniveau4">
    <w:name w:val="TOC 4"/>
    <w:basedOn w:val="Normal"/>
    <w:next w:val="Normal"/>
    <w:autoRedefine/>
    <w:uiPriority w:val="39"/>
    <w:unhideWhenUsed/>
    <w:rsid w:val="00387ca2"/>
    <w:pPr>
      <w:spacing w:before="0" w:after="100"/>
      <w:ind w:left="660" w:hanging="0"/>
    </w:pPr>
    <w:rPr/>
  </w:style>
  <w:style w:type="paragraph" w:styleId="Tabledesmatiresniveau5">
    <w:name w:val="TOC 5"/>
    <w:basedOn w:val="Normal"/>
    <w:next w:val="Normal"/>
    <w:autoRedefine/>
    <w:uiPriority w:val="39"/>
    <w:unhideWhenUsed/>
    <w:rsid w:val="00387ca2"/>
    <w:pPr>
      <w:spacing w:before="0" w:after="100"/>
      <w:ind w:left="880" w:hanging="0"/>
    </w:pPr>
    <w:rPr/>
  </w:style>
  <w:style w:type="paragraph" w:styleId="NoSpacing">
    <w:name w:val="No Spacing"/>
    <w:uiPriority w:val="1"/>
    <w:qFormat/>
    <w:rsid w:val="00ea740d"/>
    <w:pPr>
      <w:widowControl/>
      <w:bidi w:val="0"/>
      <w:spacing w:lineRule="auto" w:line="240" w:before="0" w:after="0"/>
      <w:jc w:val="both"/>
    </w:pPr>
    <w:rPr>
      <w:rFonts w:ascii="Cambria" w:hAnsi="Cambria" w:asciiTheme="majorHAnsi" w:hAnsiTheme="majorHAnsi" w:eastAsia="Calibri" w:cs=""/>
      <w:color w:val="auto"/>
      <w:kern w:val="0"/>
      <w:sz w:val="22"/>
      <w:szCs w:val="22"/>
      <w:lang w:val="fr-FR" w:eastAsia="en-US" w:bidi="ar-SA"/>
    </w:rPr>
  </w:style>
  <w:style w:type="paragraph" w:styleId="Contenudetableau" w:customStyle="1">
    <w:name w:val="Contenu de tableau"/>
    <w:basedOn w:val="Normal"/>
    <w:qFormat/>
    <w:rsid w:val="00a2089f"/>
    <w:pPr>
      <w:suppressLineNumbers/>
      <w:overflowPunct w:val="true"/>
      <w:spacing w:before="0" w:after="0"/>
      <w:jc w:val="left"/>
    </w:pPr>
    <w:rPr>
      <w:rFonts w:ascii="Liberation Serif" w:hAnsi="Liberation Serif" w:eastAsia="Arial Unicode MS" w:cs="Arial Unicode MS"/>
      <w:color w:val="00000A"/>
      <w:sz w:val="24"/>
      <w:szCs w:val="24"/>
      <w:lang w:eastAsia="zh-CN" w:bidi="hi-IN"/>
    </w:rPr>
  </w:style>
  <w:style w:type="paragraph" w:styleId="Annotationtext">
    <w:name w:val="annotation text"/>
    <w:basedOn w:val="Normal"/>
    <w:link w:val="CommentaireCar"/>
    <w:uiPriority w:val="99"/>
    <w:semiHidden/>
    <w:unhideWhenUsed/>
    <w:qFormat/>
    <w:rsid w:val="00c31716"/>
    <w:pPr/>
    <w:rPr>
      <w:sz w:val="20"/>
      <w:szCs w:val="20"/>
    </w:rPr>
  </w:style>
  <w:style w:type="paragraph" w:styleId="Annotationsubject">
    <w:name w:val="annotation subject"/>
    <w:basedOn w:val="Annotationtext"/>
    <w:next w:val="Annotationtext"/>
    <w:link w:val="ObjetducommentaireCar"/>
    <w:uiPriority w:val="99"/>
    <w:semiHidden/>
    <w:unhideWhenUsed/>
    <w:qFormat/>
    <w:rsid w:val="00c31716"/>
    <w:pPr/>
    <w:rPr>
      <w:b/>
      <w:bCs/>
    </w:rPr>
  </w:style>
  <w:style w:type="numbering" w:styleId="NoList" w:default="1">
    <w:name w:val="No List"/>
    <w:uiPriority w:val="99"/>
    <w:semiHidden/>
    <w:unhideWhenUsed/>
    <w:qFormat/>
  </w:style>
  <w:style w:type="numbering" w:styleId="Puce">
    <w:name w:val="Puce •"/>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e16e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9C74C-559F-4418-ADFC-8FB21BE7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Application>LibreOffice/6.4.4.2$Windows_X86_64 LibreOffice_project/3d775be2011f3886db32dfd395a6a6d1ca2630ff</Application>
  <Pages>3</Pages>
  <Words>653</Words>
  <Characters>3199</Characters>
  <CharactersWithSpaces>3805</CharactersWithSpaces>
  <Paragraphs>47</Paragraphs>
  <Company>Marie de Paris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2021-11-26T14:39:00Z</dcterms:created>
  <dc:creator>Pestourie, Marie-Charlotte</dc:creator>
  <dc:description/>
  <dc:language>fr-FR</dc:language>
  <cp:lastModifiedBy/>
  <dcterms:modified xsi:type="dcterms:W3CDTF">2022-08-22T11:18:49Z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Marie de Paris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