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hdphoto1.wdp" ContentType="image/vnd.ms-photo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color w:val="C00000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04B7161">
                <wp:simplePos x="0" y="0"/>
                <wp:positionH relativeFrom="margin">
                  <wp:align>center</wp:align>
                </wp:positionH>
                <wp:positionV relativeFrom="margin">
                  <wp:posOffset>-647065</wp:posOffset>
                </wp:positionV>
                <wp:extent cx="956310" cy="834390"/>
                <wp:effectExtent l="0" t="0" r="0" b="5080"/>
                <wp:wrapSquare wrapText="bothSides"/>
                <wp:docPr id="1" name="Image 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6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955800" cy="833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6" stroked="f" style="position:absolute;margin-left:189.1pt;margin-top:-50.95pt;width:75.2pt;height:65.6pt;mso-position-horizontal:center;mso-position-horizontal-relative:margin;mso-position-vertical-relative:margin" wp14:anchorId="704B7161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color w:val="C00000"/>
          <w:sz w:val="32"/>
          <w:szCs w:val="32"/>
        </w:rPr>
        <w:t xml:space="preserve">Support de cours du stagiaire </w:t>
      </w:r>
    </w:p>
    <w:p>
      <w:pPr>
        <w:pStyle w:val="Normal"/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--- --- ---- ---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2630" w:leader="none"/>
          <w:tab w:val="center" w:pos="4535" w:leader="none"/>
        </w:tabs>
        <w:spacing w:before="0" w:after="360"/>
        <w:jc w:val="center"/>
        <w:rPr>
          <w:rFonts w:ascii="Cambria" w:hAnsi="Cambria" w:eastAsia="Calibri" w:cs="" w:asciiTheme="majorHAnsi" w:hAnsiTheme="majorHAnsi"/>
          <w:b/>
          <w:b/>
          <w:color w:val="auto"/>
          <w:kern w:val="0"/>
          <w:sz w:val="48"/>
          <w:szCs w:val="48"/>
          <w:lang w:val="fr-FR" w:eastAsia="en-US" w:bidi="ar-SA"/>
        </w:rPr>
      </w:pPr>
      <w:r>
        <w:rPr>
          <w:rFonts w:eastAsia="Calibri" w:cs=""/>
          <w:b/>
          <w:color w:val="auto"/>
          <w:kern w:val="0"/>
          <w:sz w:val="48"/>
          <w:szCs w:val="48"/>
          <w:lang w:val="fr-FR" w:eastAsia="en-US" w:bidi="ar-SA"/>
        </w:rPr>
        <w:t>Le procès-verbal électronique</w:t>
      </w:r>
    </w:p>
    <w:p>
      <w:pPr>
        <w:pStyle w:val="Titre4"/>
        <w:numPr>
          <w:ilvl w:val="0"/>
          <w:numId w:val="0"/>
        </w:numPr>
        <w:ind w:left="720" w:hanging="0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Les modalités de mise en œuvre du Pve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Début en 2009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 PVe présent des avantages par rapport au PV classique (PV papier).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Les avantages :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2"/>
          <w:szCs w:val="22"/>
        </w:rPr>
        <w:t xml:space="preserve">Il y a moins </w:t>
      </w: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 xml:space="preserve">d’erreur lors de la verbalisation,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 xml:space="preserve">La </w:t>
      </w: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Saisi</w:t>
      </w: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e est</w:t>
      </w: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 xml:space="preserve"> simplifié par code NATINF ou par mot clé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Possibilité de géolocalisation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 xml:space="preserve">Envoi de l’avis de contravention à domicile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Diminution du taux de contestation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Facilité de paiement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Les caractéristique du PVe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Le PM </w:t>
      </w: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>utilise l’appareil qu’avec une carte électronique d’identification personnelle.</w:t>
      </w:r>
    </w:p>
    <w:p>
      <w:pPr>
        <w:pStyle w:val="Normal"/>
        <w:bidi w:val="0"/>
        <w:jc w:val="both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 xml:space="preserve">Seuls les </w:t>
      </w: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 xml:space="preserve">agents habilités </w:t>
      </w: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>ont le droit de verbaliser à l’aide des terminaux de verbalisation électronique.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Un code d’identification est nécessaire.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eastAsia="Cambria"/>
          <w:color w:val="071F32"/>
          <w:kern w:val="2"/>
          <w:sz w:val="22"/>
          <w:szCs w:val="22"/>
          <w:lang w:val="fr-FR"/>
        </w:rPr>
        <w:t xml:space="preserve">À chaque rédaction d’un PVe, </w:t>
      </w:r>
      <w:r>
        <w:rPr>
          <w:rFonts w:eastAsia="Cambria"/>
          <w:color w:val="071F32"/>
          <w:kern w:val="2"/>
          <w:sz w:val="22"/>
          <w:szCs w:val="22"/>
          <w:lang w:val="fr-FR"/>
        </w:rPr>
        <w:t>le Pm doit</w:t>
      </w:r>
      <w:r>
        <w:rPr>
          <w:rFonts w:eastAsia="Cambria"/>
          <w:color w:val="071F32"/>
          <w:kern w:val="2"/>
          <w:sz w:val="22"/>
          <w:szCs w:val="22"/>
          <w:lang w:val="fr-FR"/>
        </w:rPr>
        <w:t xml:space="preserve"> sign</w:t>
      </w:r>
      <w:r>
        <w:rPr>
          <w:rFonts w:eastAsia="Cambria"/>
          <w:color w:val="071F32"/>
          <w:kern w:val="2"/>
          <w:sz w:val="22"/>
          <w:szCs w:val="22"/>
          <w:lang w:val="fr-FR"/>
        </w:rPr>
        <w:t>er.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En fonction des règles sanitaires en vigueur, vous pourrez permettre au contrevenant de signer le PV selon les mêmes modalités.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eastAsia="Cambria"/>
          <w:color w:val="071F32"/>
          <w:kern w:val="2"/>
          <w:sz w:val="22"/>
          <w:szCs w:val="22"/>
          <w:lang w:val="fr-FR"/>
        </w:rPr>
        <w:t>Une touche permet</w:t>
      </w:r>
      <w:r>
        <w:rPr>
          <w:rFonts w:eastAsia="Cambria"/>
          <w:color w:val="000000"/>
          <w:kern w:val="2"/>
          <w:sz w:val="22"/>
          <w:szCs w:val="22"/>
          <w:lang w:val="fr-FR"/>
        </w:rPr>
        <w:t xml:space="preserve"> de retourner l’écra</w:t>
      </w:r>
      <w:r>
        <w:rPr>
          <w:rFonts w:eastAsia="Cambria"/>
          <w:color w:val="000000"/>
          <w:kern w:val="2"/>
          <w:sz w:val="22"/>
          <w:szCs w:val="22"/>
          <w:lang w:val="fr-FR"/>
        </w:rPr>
        <w:t>n.</w:t>
      </w:r>
    </w:p>
    <w:p>
      <w:pPr>
        <w:pStyle w:val="Normal"/>
        <w:bidi w:val="0"/>
        <w:jc w:val="both"/>
        <w:rPr>
          <w:rFonts w:ascii="Cambria" w:hAnsi="Cambria" w:eastAsia="Cambria"/>
          <w:color w:val="000000"/>
          <w:kern w:val="2"/>
          <w:lang w:val="fr-FR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b/>
          <w:b/>
          <w:bCs/>
          <w:sz w:val="22"/>
          <w:szCs w:val="22"/>
        </w:rPr>
      </w:pPr>
      <w:r>
        <w:rPr>
          <w:rFonts w:eastAsia="Cambria"/>
          <w:b/>
          <w:bCs/>
          <w:color w:val="000000"/>
          <w:kern w:val="2"/>
          <w:sz w:val="22"/>
          <w:szCs w:val="22"/>
          <w:lang w:val="fr-FR"/>
        </w:rPr>
        <w:t>La procédure d’utilisation du PVe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L'agent verbalisateur (PM/ASP/ISVP) constate l'infraction et la relève sur son terminal.</w:t>
      </w:r>
    </w:p>
    <w:p>
      <w:pPr>
        <w:pStyle w:val="Normal"/>
        <w:bidi w:val="0"/>
        <w:jc w:val="both"/>
        <w:rPr>
          <w:rFonts w:ascii="Cambria" w:hAnsi="Cambria" w:eastAsia="Cambria"/>
          <w:color w:val="000000"/>
          <w:kern w:val="2"/>
          <w:lang w:val="fr-FR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Les données de l'infraction sont télétransmises par le service verbalisateur au Centre National de Traitement (CNT) de Rennes.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Le CNT identifie le titulaire du certificat d'immatriculation du véhicule en infraction dans le Système d'Immatriculation des Véhicules (SIV) ou avec les coordonnés du contrevenant.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 xml:space="preserve">Le CNT édite et expédie l'avis de contravention au titulaire de la carte grise.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Le contrevenant reçoit l'avis de contravention par courrier à son domicile (ou par courriel).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Le contrevenant qui a reçu la contravention paye l'amende qui sera encaissée par le Trésor Public ou conteste l'infraction.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En cas de contestation, la demande sera traitée par l'Officier du Ministère Public (OMP) du lieu de l'infraction.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Un PV ne peut subir aucunes modification après cette validation.</w:t>
      </w:r>
    </w:p>
    <w:p>
      <w:pPr>
        <w:pStyle w:val="Normal"/>
        <w:rPr>
          <w:rFonts w:eastAsia="Cambria"/>
          <w:kern w:val="2"/>
          <w:lang w:val="fr-FR"/>
        </w:rPr>
      </w:pPr>
      <w:r>
        <w:rPr>
          <w:rFonts w:ascii="Cambria" w:hAnsi="Cambria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mbria" w:hAnsi="Cambria"/>
          <w:b/>
          <w:b/>
          <w:bCs/>
          <w:color w:val="000000"/>
          <w:sz w:val="22"/>
          <w:szCs w:val="22"/>
        </w:rPr>
      </w:pPr>
      <w:r>
        <w:rPr>
          <w:rFonts w:eastAsia="Cambria" w:ascii="Cambria" w:hAnsi="Cambria"/>
          <w:b/>
          <w:bCs/>
          <w:color w:val="000000"/>
          <w:kern w:val="2"/>
          <w:sz w:val="22"/>
          <w:szCs w:val="22"/>
          <w:lang w:val="fr-FR"/>
        </w:rPr>
        <w:t>Le cadre légal</w:t>
      </w:r>
    </w:p>
    <w:p>
      <w:pPr>
        <w:pStyle w:val="Normal"/>
        <w:rPr>
          <w:rFonts w:ascii="Cambria" w:hAnsi="Cambria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Cambria" w:ascii="Cambria" w:hAnsi="Cambria"/>
          <w:b w:val="false"/>
          <w:bCs w:val="false"/>
          <w:color w:val="000000"/>
          <w:kern w:val="2"/>
          <w:sz w:val="22"/>
          <w:szCs w:val="22"/>
          <w:lang w:val="fr-FR"/>
        </w:rPr>
        <w:t>L’article R.49-1 du Code de procédure pénale autorise le procès-verbal électronique</w:t>
      </w:r>
    </w:p>
    <w:p>
      <w:pPr>
        <w:pStyle w:val="Normal"/>
        <w:rPr>
          <w:rFonts w:ascii="Cambria" w:hAnsi="Cambria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Cambria" w:ascii="Cambria" w:hAnsi="Cambria"/>
          <w:b w:val="false"/>
          <w:bCs w:val="false"/>
          <w:color w:val="000000"/>
          <w:kern w:val="2"/>
          <w:sz w:val="22"/>
          <w:szCs w:val="22"/>
          <w:lang w:val="fr-FR"/>
        </w:rPr>
        <w:t xml:space="preserve">L’article A37-19 du Code de procédure pénale </w:t>
      </w:r>
      <w:r>
        <w:rPr>
          <w:rFonts w:eastAsia="Cambria" w:ascii="Cambria" w:hAnsi="Cambria"/>
          <w:b w:val="false"/>
          <w:bCs w:val="false"/>
          <w:color w:val="000000"/>
          <w:kern w:val="2"/>
          <w:sz w:val="22"/>
          <w:szCs w:val="22"/>
          <w:lang w:val="fr-FR"/>
        </w:rPr>
        <w:t>fixe les caractéristiques techniques obligatoires (signature, carte électronique d’identification etc)</w:t>
      </w:r>
    </w:p>
    <w:p>
      <w:pPr>
        <w:pStyle w:val="Normal"/>
        <w:spacing w:before="0" w:after="240"/>
        <w:rPr>
          <w:rFonts w:ascii="Cambria" w:hAnsi="Cambria" w:eastAsia="Cambria"/>
          <w:b/>
          <w:b/>
          <w:color w:val="071F32"/>
          <w:kern w:val="2"/>
          <w:sz w:val="56"/>
          <w:lang w:val="fr-FR"/>
        </w:rPr>
      </w:pPr>
      <w:r>
        <w:rPr>
          <w:b w:val="false"/>
          <w:bCs w:val="false"/>
          <w:color w:val="000000"/>
          <w:sz w:val="22"/>
          <w:szCs w:val="22"/>
        </w:rPr>
      </w:r>
    </w:p>
    <w:sectPr>
      <w:footerReference w:type="default" r:id="rId4"/>
      <w:type w:val="nextPage"/>
      <w:pgSz w:w="11906" w:h="16838"/>
      <w:pgMar w:left="1418" w:right="1418" w:header="0" w:top="1418" w:footer="709" w:bottom="1418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4287174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5"/>
      <w:numFmt w:val="lowerLetter"/>
      <w:lvlText w:val="%1)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509"/>
    <w:pPr>
      <w:widowControl/>
      <w:suppressAutoHyphens w:val="true"/>
      <w:bidi w:val="0"/>
      <w:spacing w:lineRule="auto" w:line="240" w:before="0" w:after="240"/>
      <w:jc w:val="both"/>
    </w:pPr>
    <w:rPr>
      <w:rFonts w:ascii="Cambria" w:hAnsi="Cambria" w:eastAsia="Calibri" w:cs="" w:asciiTheme="majorHAnsi" w:hAnsiTheme="maj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06509"/>
    <w:pPr>
      <w:keepNext w:val="true"/>
      <w:keepLines/>
      <w:spacing w:before="0" w:after="360"/>
      <w:outlineLvl w:val="0"/>
    </w:pPr>
    <w:rPr>
      <w:rFonts w:ascii="Cambria" w:hAnsi="Cambria" w:eastAsia="" w:cs="" w:cstheme="majorBidi" w:eastAsiaTheme="majorEastAsia"/>
      <w:b/>
      <w:caps/>
      <w:color w:val="C0504D" w:themeColor="accent2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509"/>
    <w:pPr>
      <w:keepNext w:val="true"/>
      <w:keepLines/>
      <w:spacing w:before="0" w:after="360"/>
      <w:ind w:left="714" w:hanging="357"/>
    </w:pPr>
    <w:rPr>
      <w:rFonts w:eastAsia="" w:cs="" w:cstheme="majorBidi" w:eastAsiaTheme="majorEastAsia"/>
      <w:b/>
      <w:bCs/>
      <w:caps/>
      <w:color w:val="000000" w:themeColor="text1"/>
      <w:sz w:val="3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509"/>
    <w:pPr>
      <w:keepNext w:val="true"/>
      <w:keepLines/>
      <w:spacing w:before="0" w:after="360"/>
      <w:ind w:left="714" w:hanging="357"/>
    </w:pPr>
    <w:rPr>
      <w:rFonts w:eastAsia="" w:cs="" w:cstheme="majorBidi" w:eastAsiaTheme="majorEastAsia"/>
      <w:b/>
      <w:bCs/>
      <w:i/>
      <w:caps/>
      <w:color w:val="1F497D" w:themeColor="text2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6509"/>
    <w:pPr>
      <w:keepNext w:val="true"/>
      <w:keepLines/>
      <w:ind w:left="1094" w:hanging="357"/>
    </w:pPr>
    <w:rPr>
      <w:rFonts w:eastAsia="" w:cs="" w:cstheme="majorBidi" w:eastAsiaTheme="majorEastAsia"/>
      <w:b/>
      <w:bCs/>
      <w:iCs/>
      <w:color w:val="C0504D" w:themeColor="accent2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06509"/>
    <w:pPr>
      <w:keepNext w:val="true"/>
      <w:keepLines/>
      <w:numPr>
        <w:ilvl w:val="0"/>
        <w:numId w:val="1"/>
      </w:numPr>
      <w:spacing w:before="120" w:after="240"/>
      <w:ind w:left="714" w:hanging="357"/>
      <w:outlineLvl w:val="0"/>
    </w:pPr>
    <w:rPr>
      <w:rFonts w:eastAsia="" w:cs="" w:cstheme="majorBidi" w:eastAsiaTheme="majorEastAsia"/>
      <w:b/>
      <w:color w:val="243F60" w:themeColor="accent1" w:themeShade="7f"/>
      <w:sz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06509"/>
    <w:rPr>
      <w:rFonts w:ascii="Cambria" w:hAnsi="Cambria" w:eastAsia="" w:cs="" w:cstheme="majorBidi" w:eastAsiaTheme="majorEastAsia"/>
      <w:b/>
      <w:caps/>
      <w:color w:val="C0504D" w:themeColor="accent2"/>
      <w:sz w:val="36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106509"/>
    <w:rPr>
      <w:rFonts w:ascii="Cambria" w:hAnsi="Cambria" w:eastAsia="" w:cs="" w:asciiTheme="majorHAnsi" w:cstheme="majorBidi" w:eastAsiaTheme="majorEastAsia" w:hAnsiTheme="majorHAnsi"/>
      <w:b/>
      <w:bCs/>
      <w:caps/>
      <w:color w:val="000000" w:themeColor="text1"/>
      <w:sz w:val="30"/>
      <w:szCs w:val="26"/>
      <w:u w:val="single"/>
    </w:rPr>
  </w:style>
  <w:style w:type="character" w:styleId="Titre3Car" w:customStyle="1">
    <w:name w:val="Titre 3 Car"/>
    <w:basedOn w:val="DefaultParagraphFont"/>
    <w:link w:val="Titre3"/>
    <w:uiPriority w:val="9"/>
    <w:qFormat/>
    <w:rsid w:val="00106509"/>
    <w:rPr>
      <w:rFonts w:ascii="Cambria" w:hAnsi="Cambria" w:eastAsia="" w:cs="" w:asciiTheme="majorHAnsi" w:cstheme="majorBidi" w:eastAsiaTheme="majorEastAsia" w:hAnsiTheme="majorHAnsi"/>
      <w:b/>
      <w:bCs/>
      <w:i/>
      <w:caps/>
      <w:color w:val="1F497D" w:themeColor="text2"/>
      <w:sz w:val="28"/>
    </w:rPr>
  </w:style>
  <w:style w:type="character" w:styleId="Titre4Car" w:customStyle="1">
    <w:name w:val="Titre 4 Car"/>
    <w:basedOn w:val="DefaultParagraphFont"/>
    <w:link w:val="Titre4"/>
    <w:uiPriority w:val="9"/>
    <w:qFormat/>
    <w:rsid w:val="00106509"/>
    <w:rPr>
      <w:rFonts w:ascii="Cambria" w:hAnsi="Cambria" w:eastAsia="" w:cs="" w:asciiTheme="majorHAnsi" w:cstheme="majorBidi" w:eastAsiaTheme="majorEastAsia" w:hAnsiTheme="majorHAnsi"/>
      <w:b/>
      <w:bCs/>
      <w:iCs/>
      <w:color w:val="C0504D" w:themeColor="accent2"/>
      <w:sz w:val="26"/>
      <w:u w:val="single"/>
    </w:rPr>
  </w:style>
  <w:style w:type="character" w:styleId="Titre5Car" w:customStyle="1">
    <w:name w:val="Titre 5 Car"/>
    <w:basedOn w:val="DefaultParagraphFont"/>
    <w:link w:val="Titre5"/>
    <w:uiPriority w:val="9"/>
    <w:qFormat/>
    <w:rsid w:val="00106509"/>
    <w:rPr>
      <w:rFonts w:ascii="Cambria" w:hAnsi="Cambria" w:eastAsia="" w:cs="" w:asciiTheme="majorHAnsi" w:cstheme="majorBidi" w:eastAsiaTheme="majorEastAsia" w:hAnsiTheme="majorHAnsi"/>
      <w:b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e16e24"/>
    <w:rPr>
      <w:b/>
      <w:bCs/>
    </w:rPr>
  </w:style>
  <w:style w:type="character" w:styleId="LienInternet">
    <w:name w:val="Lien Internet"/>
    <w:basedOn w:val="DefaultParagraphFont"/>
    <w:uiPriority w:val="99"/>
    <w:unhideWhenUsed/>
    <w:rsid w:val="00e16e24"/>
    <w:rPr>
      <w:color w:val="0000FF" w:themeColor="hyperlink"/>
      <w:u w:val="single"/>
    </w:rPr>
  </w:style>
  <w:style w:type="character" w:styleId="Ampwp0b51331" w:customStyle="1">
    <w:name w:val="amp-wp-0b51331"/>
    <w:basedOn w:val="DefaultParagraphFont"/>
    <w:qFormat/>
    <w:rsid w:val="00e16e24"/>
    <w:rPr/>
  </w:style>
  <w:style w:type="character" w:styleId="Ampwpf6bf23d" w:customStyle="1">
    <w:name w:val="amp-wp-f6bf23d"/>
    <w:basedOn w:val="DefaultParagraphFont"/>
    <w:qFormat/>
    <w:rsid w:val="00e16e24"/>
    <w:rPr/>
  </w:style>
  <w:style w:type="character" w:styleId="Documentpreview" w:customStyle="1">
    <w:name w:val="document__preview"/>
    <w:basedOn w:val="DefaultParagraphFont"/>
    <w:qFormat/>
    <w:rsid w:val="00e16e24"/>
    <w:rPr/>
  </w:style>
  <w:style w:type="character" w:styleId="EntteCar" w:customStyle="1">
    <w:name w:val="En-tête Car"/>
    <w:basedOn w:val="DefaultParagraphFont"/>
    <w:link w:val="En-tte"/>
    <w:qFormat/>
    <w:rsid w:val="00e16e24"/>
    <w:rPr>
      <w:rFonts w:ascii="Cambria" w:hAnsi="Cambria" w:asciiTheme="majorHAnsi" w:hAnsiTheme="majorHAnsi"/>
    </w:rPr>
  </w:style>
  <w:style w:type="character" w:styleId="Date1" w:customStyle="1">
    <w:name w:val="Date1"/>
    <w:basedOn w:val="DefaultParagraphFont"/>
    <w:qFormat/>
    <w:rsid w:val="00e16e24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7817"/>
    <w:rPr>
      <w:rFonts w:ascii="Tahoma" w:hAnsi="Tahoma" w:cs="Tahoma"/>
      <w:sz w:val="16"/>
      <w:szCs w:val="16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3c1616"/>
    <w:rPr>
      <w:rFonts w:ascii="Cambria" w:hAnsi="Cambria" w:asciiTheme="majorHAnsi" w:hAnsiTheme="majorHAnsi"/>
    </w:rPr>
  </w:style>
  <w:style w:type="character" w:styleId="Sronly" w:customStyle="1">
    <w:name w:val="sr-only"/>
    <w:basedOn w:val="DefaultParagraphFont"/>
    <w:qFormat/>
    <w:rsid w:val="00015860"/>
    <w:rPr/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a2089f"/>
    <w:rPr>
      <w:rFonts w:ascii="Cambria" w:hAnsi="Cambria" w:asciiTheme="majorHAnsi" w:hAnsiTheme="majorHAnsi"/>
    </w:rPr>
  </w:style>
  <w:style w:type="character" w:styleId="Hgkelc" w:customStyle="1">
    <w:name w:val="hgkelc"/>
    <w:basedOn w:val="DefaultParagraphFont"/>
    <w:qFormat/>
    <w:rsid w:val="00ba733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31716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c31716"/>
    <w:rPr>
      <w:rFonts w:ascii="Cambria" w:hAnsi="Cambria" w:asciiTheme="majorHAnsi" w:hAnsiTheme="majorHAnsi"/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c31716"/>
    <w:rPr>
      <w:rFonts w:ascii="Cambria" w:hAnsi="Cambria" w:asciiTheme="majorHAnsi" w:hAnsiTheme="majorHAnsi"/>
      <w:b/>
      <w:bCs/>
      <w:sz w:val="20"/>
      <w:szCs w:val="20"/>
    </w:rPr>
  </w:style>
  <w:style w:type="character" w:styleId="LienInternetvisit">
    <w:name w:val="Lien Internet visité"/>
    <w:basedOn w:val="DefaultParagraphFont"/>
    <w:uiPriority w:val="99"/>
    <w:semiHidden/>
    <w:unhideWhenUsed/>
    <w:rsid w:val="0050164f"/>
    <w:rPr>
      <w:color w:val="800080" w:themeColor="followedHyperlink"/>
      <w:u w:val="single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ParagraphedelisteCar"/>
    <w:uiPriority w:val="34"/>
    <w:qFormat/>
    <w:rsid w:val="00e16e24"/>
    <w:pPr>
      <w:spacing w:before="0" w:after="24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qFormat/>
    <w:rsid w:val="00e16e24"/>
    <w:pPr>
      <w:spacing w:beforeAutospacing="1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fr-FR"/>
    </w:rPr>
  </w:style>
  <w:style w:type="paragraph" w:styleId="Chapo" w:customStyle="1">
    <w:name w:val="chapo"/>
    <w:basedOn w:val="Normal"/>
    <w:qFormat/>
    <w:rsid w:val="00e16e24"/>
    <w:pPr>
      <w:spacing w:before="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Ampwp92243f9" w:customStyle="1">
    <w:name w:val="amp-wp-92243f9"/>
    <w:basedOn w:val="Normal"/>
    <w:uiPriority w:val="99"/>
    <w:semiHidden/>
    <w:qFormat/>
    <w:rsid w:val="00e16e24"/>
    <w:pPr>
      <w:spacing w:beforeAutospacing="1" w:afterAutospacing="1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paragraph" w:styleId="Considerant" w:customStyle="1">
    <w:name w:val="considerant"/>
    <w:basedOn w:val="Normal"/>
    <w:qFormat/>
    <w:rsid w:val="00e16e24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nhideWhenUsed/>
    <w:rsid w:val="00e16e24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7817"/>
    <w:pPr>
      <w:spacing w:before="0" w:after="0"/>
    </w:pPr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c1616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387ca2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387ca2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387ca2"/>
    <w:pPr>
      <w:spacing w:before="0" w:after="100"/>
      <w:ind w:left="440" w:hanging="0"/>
    </w:pPr>
    <w:rPr/>
  </w:style>
  <w:style w:type="paragraph" w:styleId="Tabledesmatiresniveau4">
    <w:name w:val="TOC 4"/>
    <w:basedOn w:val="Normal"/>
    <w:next w:val="Normal"/>
    <w:autoRedefine/>
    <w:uiPriority w:val="39"/>
    <w:unhideWhenUsed/>
    <w:rsid w:val="00387ca2"/>
    <w:pPr>
      <w:spacing w:before="0" w:after="100"/>
      <w:ind w:left="660" w:hanging="0"/>
    </w:pPr>
    <w:rPr/>
  </w:style>
  <w:style w:type="paragraph" w:styleId="Tabledesmatiresniveau5">
    <w:name w:val="TOC 5"/>
    <w:basedOn w:val="Normal"/>
    <w:next w:val="Normal"/>
    <w:autoRedefine/>
    <w:uiPriority w:val="39"/>
    <w:unhideWhenUsed/>
    <w:rsid w:val="00387ca2"/>
    <w:pPr>
      <w:spacing w:before="0" w:after="100"/>
      <w:ind w:left="880" w:hanging="0"/>
    </w:pPr>
    <w:rPr/>
  </w:style>
  <w:style w:type="paragraph" w:styleId="NoSpacing">
    <w:name w:val="No Spacing"/>
    <w:uiPriority w:val="1"/>
    <w:qFormat/>
    <w:rsid w:val="00ea740d"/>
    <w:pPr>
      <w:widowControl/>
      <w:suppressAutoHyphens w:val="true"/>
      <w:bidi w:val="0"/>
      <w:spacing w:lineRule="auto" w:line="240" w:before="0" w:after="0"/>
      <w:jc w:val="both"/>
    </w:pPr>
    <w:rPr>
      <w:rFonts w:ascii="Cambria" w:hAnsi="Cambria" w:eastAsia="Calibri" w:cs="" w:asciiTheme="majorHAnsi" w:hAnsiTheme="majorHAnsi"/>
      <w:color w:val="auto"/>
      <w:kern w:val="0"/>
      <w:sz w:val="22"/>
      <w:szCs w:val="22"/>
      <w:lang w:val="fr-FR" w:eastAsia="en-US" w:bidi="ar-SA"/>
    </w:rPr>
  </w:style>
  <w:style w:type="paragraph" w:styleId="Contenudetableau" w:customStyle="1">
    <w:name w:val="Contenu de tableau"/>
    <w:basedOn w:val="Normal"/>
    <w:qFormat/>
    <w:rsid w:val="00a2089f"/>
    <w:pPr>
      <w:suppressLineNumbers/>
      <w:overflowPunct w:val="false"/>
      <w:spacing w:before="0" w:after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eastAsia="zh-CN" w:bidi="hi-IN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c317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c3171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Puce">
    <w:name w:val="Puce •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16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9C74C-559F-4418-ADFC-8FB21BE7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LibreOffice/6.4.4.2$Windows_X86_64 LibreOffice_project/3d775be2011f3886db32dfd395a6a6d1ca2630ff</Application>
  <Pages>2</Pages>
  <Words>318</Words>
  <Characters>1779</Characters>
  <CharactersWithSpaces>2064</CharactersWithSpaces>
  <Paragraphs>34</Paragraphs>
  <Company>Marie de Paris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2021-11-26T14:39:00Z</dcterms:created>
  <dc:creator>Pestourie, Marie-Charlotte</dc:creator>
  <dc:description/>
  <dc:language>fr-FR</dc:language>
  <cp:lastModifiedBy/>
  <dcterms:modified xsi:type="dcterms:W3CDTF">2022-08-22T11:39:35Z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Marie de Paris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