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5.png" ContentType="image/png"/>
  <Override PartName="/word/media/rId38.png" ContentType="image/png"/>
  <Override PartName="/word/media/rId46.png" ContentType="image/png"/>
  <Override PartName="/word/media/rId49.png" ContentType="image/png"/>
  <Override PartName="/word/media/rId27.png" ContentType="image/png"/>
  <Override PartName="/word/media/rId30.png" ContentType="image/png"/>
  <Override PartName="/word/media/rId53.png" ContentType="image/png"/>
  <Override PartName="/word/media/rId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 Disease Risk Prediction — MLOps Assignment 01</w:t>
      </w:r>
    </w:p>
    <w:p>
      <w:pPr>
        <w:pStyle w:val="Author"/>
      </w:pPr>
      <w:r>
        <w:t xml:space="preserve">Adithya (2024AC05785)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— MLOps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https://github.com/axle-bits/MLOP_Assignment_1</w:t>
      </w:r>
    </w:p>
    <w:bookmarkStart w:id="12" w:name="overview-setup"/>
    <w:p>
      <w:pPr>
        <w:pStyle w:val="Heading2"/>
      </w:pPr>
      <w:r>
        <w:t xml:space="preserve">1. Overview &amp; Setup</w:t>
      </w:r>
    </w:p>
    <w:p>
      <w:pPr>
        <w:pStyle w:val="FirstParagraph"/>
      </w:pPr>
      <w:r>
        <w:t xml:space="preserve">This project builds an end-to-end MLOps pipeline around a binary classifier</w:t>
      </w:r>
      <w:r>
        <w:t xml:space="preserve"> </w:t>
      </w:r>
      <w:r>
        <w:t xml:space="preserve">that predicts heart disease risk from 13 clinical features in the UCI</w:t>
      </w:r>
      <w:r>
        <w:t xml:space="preserve"> </w:t>
      </w:r>
      <w:r>
        <w:t xml:space="preserve">Cleveland dataset. The goal was not simply to fit a model but to evidence</w:t>
      </w:r>
      <w:r>
        <w:t xml:space="preserve"> </w:t>
      </w:r>
      <w:r>
        <w:t xml:space="preserve">every stage of a production ML lifecycle: reproducible data preparation,</w:t>
      </w:r>
      <w:r>
        <w:t xml:space="preserve"> </w:t>
      </w:r>
      <w:r>
        <w:t xml:space="preserve">tracked experimentation, automated testing and CI/CD, containerized</w:t>
      </w:r>
      <w:r>
        <w:t xml:space="preserve"> </w:t>
      </w:r>
      <w:r>
        <w:t xml:space="preserve">serving, Kubernetes deployment, and monitoring — with every non-trivial</w:t>
      </w:r>
      <w:r>
        <w:t xml:space="preserve"> </w:t>
      </w:r>
      <w:r>
        <w:t xml:space="preserve">choice recorded and justified along the way rather than assumed.</w:t>
      </w:r>
    </w:p>
    <w:p>
      <w:pPr>
        <w:pStyle w:val="BodyText"/>
      </w:pPr>
      <w:r>
        <w:t xml:space="preserve">The system is organized around a stage-oriented repository layout —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(data and model code),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(FastAPI service),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(Docker and</w:t>
      </w:r>
      <w:r>
        <w:t xml:space="preserve"> </w:t>
      </w:r>
      <w:r>
        <w:t xml:space="preserve">Kubernetes manifests),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chosen to map</w:t>
      </w:r>
      <w:r>
        <w:t xml:space="preserve"> </w:t>
      </w:r>
      <w:r>
        <w:t xml:space="preserve">1:1 onto the CI/CD stages (lint, test, build) and to stay clearly distinct</w:t>
      </w:r>
      <w:r>
        <w:t xml:space="preserve"> </w:t>
      </w:r>
      <w:r>
        <w:t xml:space="preserve">from the widely-copied cookiecutter-data-science template. Data flows from</w:t>
      </w:r>
      <w:r>
        <w:t xml:space="preserve"> </w:t>
      </w:r>
      <w:r>
        <w:t xml:space="preserve">the UCI source through a cleaning step into a scikit-learn pipeline that</w:t>
      </w:r>
      <w:r>
        <w:t xml:space="preserve"> </w:t>
      </w:r>
      <w:r>
        <w:t xml:space="preserve">performs feature engineering, scaling, and encoding; the trained pipeline</w:t>
      </w:r>
      <w:r>
        <w:t xml:space="preserve"> </w:t>
      </w:r>
      <w:r>
        <w:t xml:space="preserve">is exported as a versioned artifact, wrapped in a FastAPI service, packaged</w:t>
      </w:r>
      <w:r>
        <w:t xml:space="preserve"> </w:t>
      </w:r>
      <w:r>
        <w:t xml:space="preserve">into a Docker image, deployed to a local Kubernetes cluster, and observed</w:t>
      </w:r>
      <w:r>
        <w:t xml:space="preserve"> </w:t>
      </w:r>
      <w:r>
        <w:t xml:space="preserve">through a Prometheus/Grafana stack. The architecture is summarized below.</w:t>
      </w:r>
    </w:p>
    <w:p>
      <w:pPr>
        <w:pStyle w:val="CaptionedFigure"/>
      </w:pPr>
      <w:r>
        <w:drawing>
          <wp:inline>
            <wp:extent cx="5334000" cy="3162300"/>
            <wp:effectExtent b="0" l="0" r="0" t="0"/>
            <wp:docPr descr="Architecture" title="" id="10" name="Picture"/>
            <a:graphic>
              <a:graphicData uri="http://schemas.openxmlformats.org/drawingml/2006/picture">
                <pic:pic>
                  <pic:nvPicPr>
                    <pic:cNvPr descr="../figures/architecture/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pStyle w:val="BodyText"/>
      </w:pPr>
      <w:r>
        <w:rPr>
          <w:b/>
          <w:bCs/>
        </w:rPr>
        <w:t xml:space="preserve">Quickstart.</w:t>
      </w:r>
      <w:r>
        <w:t xml:space="preserve"> </w:t>
      </w:r>
      <w:r>
        <w:t xml:space="preserve">Clone the repository, create a virtual environment, and</w:t>
      </w:r>
      <w:r>
        <w:t xml:space="preserve"> </w:t>
      </w:r>
      <w:r>
        <w:t xml:space="preserve">install pinned dependencies: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.venv/Scripts/activate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Train and track experiments, then serve locally: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ml.models.train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Or run containerized and on Kubernetes: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infra/Dockerfile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infra/k8s/</w:t>
      </w:r>
    </w:p>
    <w:p>
      <w:pPr>
        <w:pStyle w:val="FirstParagraph"/>
      </w:pPr>
      <w:r>
        <w:t xml:space="preserve">Run the test suite before touching anything else —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— to confirm</w:t>
      </w:r>
      <w:r>
        <w:t xml:space="preserve"> </w:t>
      </w:r>
      <w:r>
        <w:t xml:space="preserve">the data pipeline and packaging logic behave as committed;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runs the same lint gate CI enforces. The remaining sections follow the</w:t>
      </w:r>
      <w:r>
        <w:t xml:space="preserve"> </w:t>
      </w:r>
      <w:r>
        <w:t xml:space="preserve">same order as the assignment’s nine tasks, from data through monitoring,</w:t>
      </w:r>
      <w:r>
        <w:t xml:space="preserve"> </w:t>
      </w:r>
      <w:r>
        <w:t xml:space="preserve">and each closes with the trade-offs actually made rather than an idealized</w:t>
      </w:r>
      <w:r>
        <w:t xml:space="preserve"> </w:t>
      </w:r>
      <w:r>
        <w:t xml:space="preserve">version of the pipeline.</w:t>
      </w:r>
    </w:p>
    <w:bookmarkEnd w:id="12"/>
    <w:bookmarkStart w:id="22" w:name="data-eda"/>
    <w:p>
      <w:pPr>
        <w:pStyle w:val="Heading2"/>
      </w:pPr>
      <w:r>
        <w:t xml:space="preserve">2. Data &amp; EDA</w:t>
      </w:r>
    </w:p>
    <w:p>
      <w:pPr>
        <w:pStyle w:val="FirstParagraph"/>
      </w:pPr>
      <w:r>
        <w:t xml:space="preserve">The dataset is the classic Cleveland subset of the UCI Heart Disease</w:t>
      </w:r>
      <w:r>
        <w:t xml:space="preserve"> </w:t>
      </w:r>
      <w:r>
        <w:t xml:space="preserve">repository, fetched programmatically via</w:t>
      </w:r>
      <w:r>
        <w:t xml:space="preserve"> </w:t>
      </w:r>
      <w:r>
        <w:rPr>
          <w:rStyle w:val="VerbatimChar"/>
        </w:rPr>
        <w:t xml:space="preserve">ucimlrepo</w:t>
      </w:r>
      <w:r>
        <w:t xml:space="preserve"> </w:t>
      </w:r>
      <w:r>
        <w:t xml:space="preserve">(id=45) rather than a</w:t>
      </w:r>
      <w:r>
        <w:t xml:space="preserve"> </w:t>
      </w:r>
      <w:r>
        <w:t xml:space="preserve">manual CSV download, which was verified to return exactly 303 rows × 13</w:t>
      </w:r>
      <w:r>
        <w:t xml:space="preserve"> </w:t>
      </w:r>
      <w:r>
        <w:t xml:space="preserve">features and matches the assignment’s dataset link — the alternative</w:t>
      </w:r>
      <w:r>
        <w:t xml:space="preserve"> </w:t>
      </w:r>
      <w:r>
        <w:t xml:space="preserve">combined four-site dataset (~920 rows) was rejected as not being what id=45</w:t>
      </w:r>
      <w:r>
        <w:t xml:space="preserve"> </w:t>
      </w:r>
      <w:r>
        <w:t xml:space="preserve">actually serves. The raw multi-class target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(0–4, distribution</w:t>
      </w:r>
      <w:r>
        <w:t xml:space="preserve"> </w:t>
      </w:r>
      <w:r>
        <w:t xml:space="preserve">164/55/36/35/13) was binarized to 0 (no disease) vs 1 (disease present),</w:t>
      </w:r>
      <w:r>
        <w:t xml:space="preserve"> </w:t>
      </w:r>
      <w:r>
        <w:t xml:space="preserve">the established 0-vs-rest convention for this dataset and a binary</w:t>
      </w:r>
      <w:r>
        <w:t xml:space="preserve"> </w:t>
      </w:r>
      <w:r>
        <w:t xml:space="preserve">classifier requirement from the assignment itself.</w:t>
      </w:r>
    </w:p>
    <w:p>
      <w:pPr>
        <w:pStyle w:val="BodyText"/>
      </w:pPr>
      <w:r>
        <w:t xml:space="preserve">Six rows (2% of the data) with missing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(4 rows) or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(2 rows)</w:t>
      </w:r>
      <w:r>
        <w:t xml:space="preserve"> </w:t>
      </w:r>
      <w:r>
        <w:t xml:space="preserve">values were dropped rather than imputed, since both are categorical</w:t>
      </w:r>
      <w:r>
        <w:t xml:space="preserve"> </w:t>
      </w:r>
      <w:r>
        <w:t xml:space="preserve">clinical measurements (vessel count, thalassemia type) where imputation</w:t>
      </w:r>
      <w:r>
        <w:t xml:space="preserve"> </w:t>
      </w:r>
      <w:r>
        <w:t xml:space="preserve">would invent clinical facts, and dropping sidesteps any train/test leakage</w:t>
      </w:r>
      <w:r>
        <w:t xml:space="preserve"> </w:t>
      </w:r>
      <w:r>
        <w:t xml:space="preserve">question entirely. This leaves 297 rows with a class balance of 160</w:t>
      </w:r>
      <w:r>
        <w:t xml:space="preserve"> </w:t>
      </w:r>
      <w:r>
        <w:t xml:space="preserve">no-disease vs 137 disease cases — a mild imbalance, handled downstream by</w:t>
      </w:r>
      <w:r>
        <w:t xml:space="preserve"> </w:t>
      </w:r>
      <w:r>
        <w:t xml:space="preserve">scoring on ROC-AUC.</w:t>
      </w:r>
    </w:p>
    <w:p>
      <w:pPr>
        <w:pStyle w:val="BodyText"/>
      </w:pPr>
      <w:r>
        <w:drawing>
          <wp:inline>
            <wp:extent cx="5334000" cy="2301030"/>
            <wp:effectExtent b="0" l="0" r="0" t="0"/>
            <wp:docPr descr="Class balance" title="" id="14" name="Picture"/>
            <a:graphic>
              <a:graphicData uri="http://schemas.openxmlformats.org/drawingml/2006/picture">
                <pic:pic>
                  <pic:nvPicPr>
                    <pic:cNvPr descr="../figures/eda/class_balanc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943856" cy="4285488"/>
            <wp:effectExtent b="0" l="0" r="0" t="0"/>
            <wp:docPr descr="Correlation heatmap" title="" id="17" name="Picture"/>
            <a:graphic>
              <a:graphicData uri="http://schemas.openxmlformats.org/drawingml/2006/picture">
                <pic:pic>
                  <pic:nvPicPr>
                    <pic:cNvPr descr="../figures/eda/correlation_heatm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56" cy="428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565904" cy="3773424"/>
            <wp:effectExtent b="0" l="0" r="0" t="0"/>
            <wp:docPr descr="Chest pain and exercise angina prevalence" title="" id="20" name="Picture"/>
            <a:graphic>
              <a:graphicData uri="http://schemas.openxmlformats.org/drawingml/2006/picture">
                <pic:pic>
                  <pic:nvPicPr>
                    <pic:cNvPr descr="../figures/eda/cp_exang_prevalen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904" cy="377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Exploratory analysis surfaced several clinically sensible patterns: disease</w:t>
      </w:r>
      <w:r>
        <w:t xml:space="preserve"> </w:t>
      </w:r>
      <w:r>
        <w:t xml:space="preserve">prevalence is markedly higher in males (56%) than females (26%); patients</w:t>
      </w:r>
      <w:r>
        <w:t xml:space="preserve"> </w:t>
      </w:r>
      <w:r>
        <w:t xml:space="preserve">reporting asymptomatic chest pain combined with exercise-induced angina</w:t>
      </w:r>
      <w:r>
        <w:t xml:space="preserve"> </w:t>
      </w:r>
      <w:r>
        <w:t xml:space="preserve">show an 87% prevalence, the strongest subgroup signal in the data; and</w:t>
      </w:r>
      <w:r>
        <w:t xml:space="preserve"> </w:t>
      </w:r>
      <w:r>
        <w:t xml:space="preserve">among continuous features, ST-depression (</w:t>
      </w:r>
      <w:r>
        <w:rPr>
          <w:rStyle w:val="VerbatimChar"/>
        </w:rPr>
        <w:t xml:space="preserve">oldpeak</w:t>
      </w:r>
      <w:r>
        <w:t xml:space="preserve">, r=+0.42) and maximum</w:t>
      </w:r>
      <w:r>
        <w:t xml:space="preserve"> </w:t>
      </w:r>
      <w:r>
        <w:t xml:space="preserve">heart rate achieved (</w:t>
      </w:r>
      <w:r>
        <w:rPr>
          <w:rStyle w:val="VerbatimChar"/>
        </w:rPr>
        <w:t xml:space="preserve">thalach</w:t>
      </w:r>
      <w:r>
        <w:t xml:space="preserve">, r=−0.42) are the strongest linear</w:t>
      </w:r>
      <w:r>
        <w:t xml:space="preserve"> </w:t>
      </w:r>
      <w:r>
        <w:t xml:space="preserve">correlates of the target. These findings motivated the derived clinical</w:t>
      </w:r>
      <w:r>
        <w:t xml:space="preserve"> </w:t>
      </w:r>
      <w:r>
        <w:t xml:space="preserve">features introduced in the next section.</w:t>
      </w:r>
    </w:p>
    <w:p>
      <w:pPr>
        <w:pStyle w:val="BodyText"/>
      </w:pPr>
      <w:r>
        <w:t xml:space="preserve">The figures themselves use a fixed two-class palette (no-disease blue</w:t>
      </w:r>
      <w:r>
        <w:t xml:space="preserve"> </w:t>
      </w:r>
      <w:r>
        <w:rPr>
          <w:rStyle w:val="VerbatimChar"/>
        </w:rPr>
        <w:t xml:space="preserve">#2a78d6</w:t>
      </w:r>
      <w:r>
        <w:t xml:space="preserve">, disease red</w:t>
      </w:r>
      <w:r>
        <w:t xml:space="preserve"> </w:t>
      </w:r>
      <w:r>
        <w:rPr>
          <w:rStyle w:val="VerbatimChar"/>
        </w:rPr>
        <w:t xml:space="preserve">#e34948</w:t>
      </w:r>
      <w:r>
        <w:t xml:space="preserve">, a diverging blue-gray-red scale for the</w:t>
      </w:r>
      <w:r>
        <w:t xml:space="preserve"> </w:t>
      </w:r>
      <w:r>
        <w:t xml:space="preserve">correlation heatmap, and a single-hue blue ramp for prevalence heatmaps),</w:t>
      </w:r>
      <w:r>
        <w:t xml:space="preserve"> </w:t>
      </w:r>
      <w:r>
        <w:t xml:space="preserve">validated colorblind-safe with a worst-pair contrast well above the</w:t>
      </w:r>
      <w:r>
        <w:t xml:space="preserve"> </w:t>
      </w:r>
      <w:r>
        <w:t xml:space="preserve">accessibility threshold, rather than left to seaborn’s defaults — this</w:t>
      </w:r>
      <w:r>
        <w:t xml:space="preserve"> </w:t>
      </w:r>
      <w:r>
        <w:t xml:space="preserve">keeps every chart in the notebook and the report visually consistent and</w:t>
      </w:r>
      <w:r>
        <w:t xml:space="preserve"> </w:t>
      </w:r>
      <w:r>
        <w:t xml:space="preserve">legible.</w:t>
      </w:r>
    </w:p>
    <w:bookmarkEnd w:id="22"/>
    <w:bookmarkStart w:id="26" w:name="feature-engineering-models"/>
    <w:p>
      <w:pPr>
        <w:pStyle w:val="Heading2"/>
      </w:pPr>
      <w:r>
        <w:t xml:space="preserve">3. Feature Engineering &amp; Models</w:t>
      </w:r>
    </w:p>
    <w:p>
      <w:pPr>
        <w:pStyle w:val="FirstParagraph"/>
      </w:pPr>
      <w:r>
        <w:t xml:space="preserve">Three clinically motivated derived features — rate-pressure product</w:t>
      </w:r>
      <w:r>
        <w:t xml:space="preserve"> </w:t>
      </w:r>
      <w:r>
        <w:t xml:space="preserve">(</w:t>
      </w:r>
      <w:r>
        <w:rPr>
          <w:rStyle w:val="VerbatimChar"/>
        </w:rPr>
        <w:t xml:space="preserve">trestbps × thalach</w:t>
      </w:r>
      <w:r>
        <w:t xml:space="preserve">), heart-rate reserve (</w:t>
      </w:r>
      <w:r>
        <w:rPr>
          <w:rStyle w:val="VerbatimChar"/>
        </w:rPr>
        <w:t xml:space="preserve">220 − age − thalach</w:t>
      </w:r>
      <w:r>
        <w:t xml:space="preserve">), and an</w:t>
      </w:r>
      <w:r>
        <w:t xml:space="preserve"> </w:t>
      </w:r>
      <w:r>
        <w:rPr>
          <w:rStyle w:val="VerbatimChar"/>
        </w:rPr>
        <w:t xml:space="preserve">oldpeak × slope</w:t>
      </w:r>
      <w:r>
        <w:t xml:space="preserve"> </w:t>
      </w:r>
      <w:r>
        <w:t xml:space="preserve">interaction — were added inside the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itself (not pre-computed into the cleaned CSV), which guarantees</w:t>
      </w:r>
      <w:r>
        <w:t xml:space="preserve"> </w:t>
      </w:r>
      <w:r>
        <w:t xml:space="preserve">an identical transformation at training and inference time. A fourth</w:t>
      </w:r>
      <w:r>
        <w:t xml:space="preserve"> </w:t>
      </w:r>
      <w:r>
        <w:t xml:space="preserve">candidate, pulse pressure, was rejected outright: the dataset only carries</w:t>
      </w:r>
      <w:r>
        <w:t xml:space="preserve"> </w:t>
      </w:r>
      <w:r>
        <w:t xml:space="preserve">systolic blood pressure (</w:t>
      </w:r>
      <w:r>
        <w:rPr>
          <w:rStyle w:val="VerbatimChar"/>
        </w:rPr>
        <w:t xml:space="preserve">trestbps</w:t>
      </w:r>
      <w:r>
        <w:t xml:space="preserve">), with no diastolic column to pair it</w:t>
      </w:r>
      <w:r>
        <w:t xml:space="preserve"> </w:t>
      </w:r>
      <w:r>
        <w:t xml:space="preserve">with.</w:t>
      </w:r>
    </w:p>
    <w:p>
      <w:pPr>
        <w:pStyle w:val="BodyText"/>
      </w:pPr>
      <w:r>
        <w:t xml:space="preserve">Preprocessing applies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to the five continuous features plus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(treated numerically as an ordinal vessel count, not a nominal code)</w:t>
      </w:r>
      <w:r>
        <w:t xml:space="preserve"> </w:t>
      </w:r>
      <w:r>
        <w:t xml:space="preserve">and the three derived features when enabled;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to the genuinely nominal categoricals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; and passthrough for the binary features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fbs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. This keeps dimensionality low on a 297-row dataset while</w:t>
      </w:r>
      <w:r>
        <w:t xml:space="preserve"> </w:t>
      </w:r>
      <w:r>
        <w:t xml:space="preserve">protecting inference-time inputs from unseen category codes.</w:t>
      </w:r>
    </w:p>
    <w:p>
      <w:pPr>
        <w:pStyle w:val="BodyText"/>
      </w:pPr>
      <w:r>
        <w:t xml:space="preserve">Three model families — Logistic Regression, Random Forest, and XGBoost —</w:t>
      </w:r>
      <w:r>
        <w:t xml:space="preserve"> </w:t>
      </w:r>
      <w:r>
        <w:t xml:space="preserve">were each trained on two feature sets (raw vs. raw+clinical), giving six</w:t>
      </w:r>
      <w:r>
        <w:t xml:space="preserve"> </w:t>
      </w:r>
      <w:r>
        <w:t xml:space="preserve">tracked runs. Every run used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StratifiedKFold(5, shuffle=True)</w:t>
      </w:r>
      <w:r>
        <w:t xml:space="preserve">, scoring ROC-AUC, tuned only on an 80/20 stratified train</w:t>
      </w:r>
      <w:r>
        <w:t xml:space="preserve"> </w:t>
      </w:r>
      <w:r>
        <w:t xml:space="preserve">split with</w:t>
      </w:r>
      <w:r>
        <w:t xml:space="preserve"> </w:t>
      </w:r>
      <w:r>
        <w:rPr>
          <w:rStyle w:val="VerbatimChar"/>
        </w:rPr>
        <w:t xml:space="preserve">random_state=785</w:t>
      </w:r>
      <w:r>
        <w:t xml:space="preserve"> </w:t>
      </w:r>
      <w:r>
        <w:t xml:space="preserve">(a seed derived from the student ID) shared</w:t>
      </w:r>
      <w:r>
        <w:t xml:space="preserve"> </w:t>
      </w:r>
      <w:r>
        <w:t xml:space="preserve">across all runs so that differences are attributable to model/features</w:t>
      </w:r>
      <w:r>
        <w:t xml:space="preserve"> </w:t>
      </w:r>
      <w:r>
        <w:t xml:space="preserve">alone; the test split is touched exactly once per run to avoid selection</w:t>
      </w:r>
      <w:r>
        <w:t xml:space="preserve"> </w:t>
      </w:r>
      <w:r>
        <w:t xml:space="preserve">leakage. Metrics logged include CV mean±std ROC-AUC plus held-out accuracy,</w:t>
      </w:r>
      <w:r>
        <w:t xml:space="preserve"> </w:t>
      </w:r>
      <w:r>
        <w:t xml:space="preserve">precision, recall, F1, and ROC-AUC.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was preferred over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because the six grids are small enough to enumerate</w:t>
      </w:r>
      <w:r>
        <w:t xml:space="preserve"> </w:t>
      </w:r>
      <w:r>
        <w:t xml:space="preserve">exhaustively; nested cross-validation was judged more rigorous than</w:t>
      </w:r>
      <w:r>
        <w:t xml:space="preserve"> </w:t>
      </w:r>
      <w:r>
        <w:t xml:space="preserve">necessary for 297 rows and harder to present clearly; and</w:t>
      </w:r>
      <w:r>
        <w:t xml:space="preserve"> </w:t>
      </w:r>
      <w:r>
        <w:rPr>
          <w:rStyle w:val="VerbatimChar"/>
        </w:rPr>
        <w:t xml:space="preserve">random_state=785</w:t>
      </w:r>
      <w:r>
        <w:t xml:space="preserve"> </w:t>
      </w:r>
      <w:r>
        <w:t xml:space="preserve">was chosen deliberately over the tutorial-universal seed 42 for</w:t>
      </w:r>
      <w:r>
        <w:t xml:space="preserve"> </w:t>
      </w:r>
      <w:r>
        <w:t xml:space="preserve">originality, with no effect on the validity of the comparison since it is</w:t>
      </w:r>
      <w:r>
        <w:t xml:space="preserve"> </w:t>
      </w:r>
      <w:r>
        <w:t xml:space="preserve">applied identically to every run. A third model family, XGBoost, was added</w:t>
      </w:r>
      <w:r>
        <w:t xml:space="preserve"> </w:t>
      </w:r>
      <w:r>
        <w:t xml:space="preserve">beyond the assignment’s two-model minimum specifically to make this</w:t>
      </w:r>
      <w:r>
        <w:t xml:space="preserve"> </w:t>
      </w:r>
      <w:r>
        <w:t xml:space="preserve">comparison richer.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cv_roc_auc</w:t>
            </w:r>
          </w:p>
        </w:tc>
        <w:tc>
          <w:tcPr/>
          <w:p>
            <w:pPr>
              <w:pStyle w:val="Compact"/>
            </w:pPr>
            <w:r>
              <w:t xml:space="preserve">test_accuracy</w:t>
            </w:r>
          </w:p>
        </w:tc>
        <w:tc>
          <w:tcPr/>
          <w:p>
            <w:pPr>
              <w:pStyle w:val="Compact"/>
            </w:pPr>
            <w:r>
              <w:t xml:space="preserve">test_precision</w:t>
            </w:r>
          </w:p>
        </w:tc>
        <w:tc>
          <w:tcPr/>
          <w:p>
            <w:pPr>
              <w:pStyle w:val="Compact"/>
            </w:pPr>
            <w:r>
              <w:t xml:space="preserve">test_recall</w:t>
            </w:r>
          </w:p>
        </w:tc>
        <w:tc>
          <w:tcPr/>
          <w:p>
            <w:pPr>
              <w:pStyle w:val="Compact"/>
            </w:pPr>
            <w:r>
              <w:t xml:space="preserve">test_f1</w:t>
            </w:r>
          </w:p>
        </w:tc>
        <w:tc>
          <w:tcPr/>
          <w:p>
            <w:pPr>
              <w:pStyle w:val="Compact"/>
            </w:pPr>
            <w:r>
              <w:t xml:space="preserve">test_roc_auc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logistic_regression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0.9195 ± 0.0123</w:t>
            </w:r>
          </w:p>
        </w:tc>
        <w:tc>
          <w:tcPr/>
          <w:p>
            <w:pPr>
              <w:pStyle w:val="Compact"/>
            </w:pPr>
            <w:r>
              <w:t xml:space="preserve">0.7667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logistic_regression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0.9198 ± 0.0230</w:t>
            </w:r>
          </w:p>
        </w:tc>
        <w:tc>
          <w:tcPr/>
          <w:p>
            <w:pPr>
              <w:pStyle w:val="Compact"/>
            </w:pPr>
            <w:r>
              <w:t xml:space="preserve">0.7833</w:t>
            </w:r>
          </w:p>
        </w:tc>
        <w:tc>
          <w:tcPr/>
          <w:p>
            <w:pPr>
              <w:pStyle w:val="Compact"/>
            </w:pPr>
            <w:r>
              <w:t xml:space="preserve">0.7778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0.7636</w:t>
            </w:r>
          </w:p>
        </w:tc>
        <w:tc>
          <w:tcPr/>
          <w:p>
            <w:pPr>
              <w:pStyle w:val="Compact"/>
            </w:pPr>
            <w:r>
              <w:t xml:space="preserve">0.8761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random_forest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0.9238 ± 0.0149</w:t>
            </w:r>
          </w:p>
        </w:tc>
        <w:tc>
          <w:tcPr/>
          <w:p>
            <w:pPr>
              <w:pStyle w:val="Compact"/>
            </w:pPr>
            <w:r>
              <w:t xml:space="preserve">0.7833</w:t>
            </w:r>
          </w:p>
        </w:tc>
        <w:tc>
          <w:tcPr/>
          <w:p>
            <w:pPr>
              <w:pStyle w:val="Compact"/>
            </w:pPr>
            <w:r>
              <w:t xml:space="preserve">0.7586</w:t>
            </w:r>
          </w:p>
        </w:tc>
        <w:tc>
          <w:tcPr/>
          <w:p>
            <w:pPr>
              <w:pStyle w:val="Compact"/>
            </w:pPr>
            <w:r>
              <w:t xml:space="preserve">0.7857</w:t>
            </w:r>
          </w:p>
        </w:tc>
        <w:tc>
          <w:tcPr/>
          <w:p>
            <w:pPr>
              <w:pStyle w:val="Compact"/>
            </w:pPr>
            <w:r>
              <w:t xml:space="preserve">0.7719</w:t>
            </w:r>
          </w:p>
        </w:tc>
        <w:tc>
          <w:tcPr/>
          <w:p>
            <w:pPr>
              <w:pStyle w:val="Compact"/>
            </w:pPr>
            <w:r>
              <w:t xml:space="preserve">0.8583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random_forest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0.9148 ± 0.0206</w:t>
            </w:r>
          </w:p>
        </w:tc>
        <w:tc>
          <w:tcPr/>
          <w:p>
            <w:pPr>
              <w:pStyle w:val="Compact"/>
            </w:pPr>
            <w:r>
              <w:t xml:space="preserve">0.7667</w:t>
            </w:r>
          </w:p>
        </w:tc>
        <w:tc>
          <w:tcPr/>
          <w:p>
            <w:pPr>
              <w:pStyle w:val="Compact"/>
            </w:pPr>
            <w:r>
              <w:t xml:space="preserve">0.7917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0.7308</w:t>
            </w:r>
          </w:p>
        </w:tc>
        <w:tc>
          <w:tcPr/>
          <w:p>
            <w:pPr>
              <w:pStyle w:val="Compact"/>
            </w:pPr>
            <w:r>
              <w:t xml:space="preserve">0.8493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0.9313 ± 0.0115</w:t>
            </w:r>
          </w:p>
        </w:tc>
        <w:tc>
          <w:tcPr/>
          <w:p>
            <w:pPr>
              <w:pStyle w:val="Compact"/>
            </w:pPr>
            <w:r>
              <w:t xml:space="preserve">0.6833</w:t>
            </w:r>
          </w:p>
        </w:tc>
        <w:tc>
          <w:tcPr/>
          <w:p>
            <w:pPr>
              <w:pStyle w:val="Compact"/>
            </w:pPr>
            <w:r>
              <w:t xml:space="preserve">0.6552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0.6667</w:t>
            </w:r>
          </w:p>
        </w:tc>
        <w:tc>
          <w:tcPr/>
          <w:p>
            <w:pPr>
              <w:pStyle w:val="Compact"/>
            </w:pPr>
            <w:r>
              <w:t xml:space="preserve">0.8415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0.9242 ± 0.0196</w:t>
            </w:r>
          </w:p>
        </w:tc>
        <w:tc>
          <w:tcPr/>
          <w:p>
            <w:pPr>
              <w:pStyle w:val="Compact"/>
            </w:pPr>
            <w:r>
              <w:t xml:space="preserve">0.7500</w:t>
            </w:r>
          </w:p>
        </w:tc>
        <w:tc>
          <w:tcPr/>
          <w:p>
            <w:pPr>
              <w:pStyle w:val="Compact"/>
            </w:pPr>
            <w:r>
              <w:t xml:space="preserve">0.6970</w:t>
            </w:r>
          </w:p>
        </w:tc>
        <w:tc>
          <w:tcPr/>
          <w:p>
            <w:pPr>
              <w:pStyle w:val="Compact"/>
            </w:pPr>
            <w:r>
              <w:t xml:space="preserve">0.8214</w:t>
            </w:r>
          </w:p>
        </w:tc>
        <w:tc>
          <w:tcPr/>
          <w:p>
            <w:pPr>
              <w:pStyle w:val="Compact"/>
            </w:pPr>
            <w:r>
              <w:t xml:space="preserve">0.7541</w:t>
            </w:r>
          </w:p>
        </w:tc>
        <w:tc>
          <w:tcPr/>
          <w:p>
            <w:pPr>
              <w:pStyle w:val="Compact"/>
            </w:pPr>
            <w:r>
              <w:t xml:space="preserve">0.8315</w:t>
            </w:r>
          </w:p>
        </w:tc>
      </w:tr>
    </w:tbl>
    <w:p>
      <w:pPr>
        <w:pStyle w:val="CaptionedFigure"/>
      </w:pPr>
      <w:r>
        <w:drawing>
          <wp:inline>
            <wp:extent cx="5334000" cy="2905918"/>
            <wp:effectExtent b="0" l="0" r="0" t="0"/>
            <wp:docPr descr="ROC-AUC by model" title="" id="24" name="Picture"/>
            <a:graphic>
              <a:graphicData uri="http://schemas.openxmlformats.org/drawingml/2006/picture">
                <pic:pic>
                  <pic:nvPicPr>
                    <pic:cNvPr descr="../figures/models/roc_auc_by_mod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ROC-AUC by model</w:t>
      </w:r>
    </w:p>
    <w:p>
      <w:pPr>
        <w:pStyle w:val="BodyText"/>
      </w:pPr>
      <w:r>
        <w:t xml:space="preserve">The winning configuration is Logistic Regression with the clinical feature</w:t>
      </w:r>
      <w:r>
        <w:t xml:space="preserve"> </w:t>
      </w:r>
      <w:r>
        <w:t xml:space="preserve">set: test ROC-AUC 0.8817, CV 0.9195 ± 0.0123. The honest picture, however,</w:t>
      </w:r>
      <w:r>
        <w:t xml:space="preserve"> </w:t>
      </w:r>
      <w:r>
        <w:t xml:space="preserve">is mixed rather than uniformly positive: the clinical features helped</w:t>
      </w:r>
      <w:r>
        <w:t xml:space="preserve"> </w:t>
      </w:r>
      <w:r>
        <w:t xml:space="preserve">Logistic Regression (0.8817 vs 0.8761 raw) but slightly hurt Random Forest</w:t>
      </w:r>
      <w:r>
        <w:t xml:space="preserve"> </w:t>
      </w:r>
      <w:r>
        <w:t xml:space="preserve">(0.8493 vs 0.8583 raw) — tree ensembles can already capture the</w:t>
      </w:r>
      <w:r>
        <w:t xml:space="preserve"> </w:t>
      </w:r>
      <w:r>
        <w:t xml:space="preserve">interactions the derived features encode explicitly, so handing them a</w:t>
      </w:r>
      <w:r>
        <w:t xml:space="preserve"> </w:t>
      </w:r>
      <w:r>
        <w:t xml:space="preserve">redundant, correlated copy of that signal did not pay off, and in RF’s case</w:t>
      </w:r>
      <w:r>
        <w:t xml:space="preserve"> </w:t>
      </w:r>
      <w:r>
        <w:t xml:space="preserve">cost a little.</w:t>
      </w:r>
    </w:p>
    <w:bookmarkEnd w:id="26"/>
    <w:bookmarkStart w:id="33" w:name="experiment-tracking"/>
    <w:p>
      <w:pPr>
        <w:pStyle w:val="Heading2"/>
      </w:pPr>
      <w:r>
        <w:t xml:space="preserve">4. Experiment Tracking</w:t>
      </w:r>
    </w:p>
    <w:p>
      <w:pPr>
        <w:pStyle w:val="FirstParagraph"/>
      </w:pPr>
      <w:r>
        <w:t xml:space="preserve">All six runs are tracked with MLflow, using a</w:t>
      </w:r>
      <w:r>
        <w:t xml:space="preserve"> </w:t>
      </w:r>
      <w:r>
        <w:rPr>
          <w:rStyle w:val="VerbatimChar"/>
        </w:rPr>
        <w:t xml:space="preserve">sqlite:///mlflow.db</w:t>
      </w:r>
      <w:r>
        <w:t xml:space="preserve"> </w:t>
      </w:r>
      <w:r>
        <w:t xml:space="preserve">store</w:t>
      </w:r>
      <w:r>
        <w:t xml:space="preserve"> </w:t>
      </w:r>
      <w:r>
        <w:t xml:space="preserve">for run metadata (params, metrics, tags) with artifacts under</w:t>
      </w:r>
      <w:r>
        <w:t xml:space="preserve"> </w:t>
      </w:r>
      <w:r>
        <w:rPr>
          <w:rStyle w:val="VerbatimChar"/>
        </w:rPr>
        <w:t xml:space="preserve">./mlruns</w:t>
      </w:r>
      <w:r>
        <w:t xml:space="preserve">.</w:t>
      </w:r>
      <w:r>
        <w:t xml:space="preserve"> </w:t>
      </w:r>
      <w:r>
        <w:t xml:space="preserve">Each run logs its hyperparameters, seven metrics (CV mean/std ROC-AUC plus</w:t>
      </w:r>
      <w:r>
        <w:t xml:space="preserve"> </w:t>
      </w:r>
      <w:r>
        <w:t xml:space="preserve">test accuracy, precision, recall, F1, ROC-AUC), the ROC curve, confusion</w:t>
      </w:r>
      <w:r>
        <w:t xml:space="preserve"> </w:t>
      </w:r>
      <w:r>
        <w:t xml:space="preserve">matrix, and feature-importance plots as artifacts, and the fitted pipeline</w:t>
      </w:r>
      <w:r>
        <w:t xml:space="preserve"> </w:t>
      </w:r>
      <w:r>
        <w:t xml:space="preserve">itself in MLflow’s model format. This gives a complete, comparable record</w:t>
      </w:r>
      <w:r>
        <w:t xml:space="preserve"> </w:t>
      </w:r>
      <w:r>
        <w:t xml:space="preserve">across all 3-model × 2-feature-set combinations without re-running</w:t>
      </w:r>
      <w:r>
        <w:t xml:space="preserve"> </w:t>
      </w:r>
      <w:r>
        <w:t xml:space="preserve">anything to answer</w:t>
      </w:r>
      <w:r>
        <w:t xml:space="preserve"> </w:t>
      </w:r>
      <w:r>
        <w:t xml:space="preserve">“did the clinical features help.”</w:t>
      </w:r>
    </w:p>
    <w:p>
      <w:pPr>
        <w:pStyle w:val="BodyText"/>
      </w:pPr>
      <w:r>
        <w:drawing>
          <wp:inline>
            <wp:extent cx="5334000" cy="1389845"/>
            <wp:effectExtent b="0" l="0" r="0" t="0"/>
            <wp:docPr descr="MLflow runs table" title="" id="28" name="Picture"/>
            <a:graphic>
              <a:graphicData uri="http://schemas.openxmlformats.org/drawingml/2006/picture">
                <pic:pic>
                  <pic:nvPicPr>
                    <pic:cNvPr descr="../../screenshots/mlflow/02-runs-tab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35234"/>
            <wp:effectExtent b="0" l="0" r="0" t="0"/>
            <wp:docPr descr="ROC curve artifact" title="" id="31" name="Picture"/>
            <a:graphic>
              <a:graphicData uri="http://schemas.openxmlformats.org/drawingml/2006/picture">
                <pic:pic>
                  <pic:nvPicPr>
                    <pic:cNvPr descr="../../screenshots/mlflow/05-artifact-roc-cur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Getting there required adapting to genuine behavioral changes in the</w:t>
      </w:r>
      <w:r>
        <w:t xml:space="preserve"> </w:t>
      </w:r>
      <w:r>
        <w:t xml:space="preserve">pinned MLflow 3.14.0 rather than the version the original brief assumed.</w:t>
      </w:r>
      <w:r>
        <w:t xml:space="preserve"> </w:t>
      </w:r>
      <w:r>
        <w:t xml:space="preserve">MLflow 3.x now raises on any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/</w:t>
      </w:r>
      <w:r>
        <w:rPr>
          <w:rStyle w:val="VerbatimChar"/>
        </w:rPr>
        <w:t xml:space="preserve">./mlruns</w:t>
      </w:r>
      <w:r>
        <w:t xml:space="preserve">-only tracking URI unless</w:t>
      </w:r>
      <w:r>
        <w:t xml:space="preserve"> </w:t>
      </w:r>
      <w:r>
        <w:rPr>
          <w:rStyle w:val="VerbatimChar"/>
        </w:rPr>
        <w:t xml:space="preserve">MLFLOW_ALLOW_FILE_STORE=true</w:t>
      </w:r>
      <w:r>
        <w:t xml:space="preserve"> </w:t>
      </w:r>
      <w:r>
        <w:t xml:space="preserve">is explicitly set, since the pure file store</w:t>
      </w:r>
      <w:r>
        <w:t xml:space="preserve"> </w:t>
      </w:r>
      <w:r>
        <w:t xml:space="preserve">is in maintenance mode — the fix was to point the tracking URI at</w:t>
      </w:r>
      <w:r>
        <w:t xml:space="preserve"> </w:t>
      </w:r>
      <w:r>
        <w:rPr>
          <w:rStyle w:val="VerbatimChar"/>
        </w:rPr>
        <w:t xml:space="preserve">sqlite:///mlflow.db</w:t>
      </w:r>
      <w:r>
        <w:t xml:space="preserve"> </w:t>
      </w:r>
      <w:r>
        <w:t xml:space="preserve">(metadata) with</w:t>
      </w:r>
      <w:r>
        <w:t xml:space="preserve"> </w:t>
      </w:r>
      <w:r>
        <w:rPr>
          <w:rStyle w:val="VerbatimChar"/>
        </w:rPr>
        <w:t xml:space="preserve">./mlruns</w:t>
      </w:r>
      <w:r>
        <w:t xml:space="preserve"> </w:t>
      </w:r>
      <w:r>
        <w:t xml:space="preserve">retained only as the</w:t>
      </w:r>
      <w:r>
        <w:t xml:space="preserve"> </w:t>
      </w:r>
      <w:r>
        <w:t xml:space="preserve">artifact root, confirmed by inspecting which store actually held the six</w:t>
      </w:r>
      <w:r>
        <w:t xml:space="preserve"> </w:t>
      </w:r>
      <w:r>
        <w:t xml:space="preserve">runs’ params and metrics. Separately,</w:t>
      </w:r>
      <w:r>
        <w:t xml:space="preserve"> </w:t>
      </w:r>
      <w:r>
        <w:rPr>
          <w:rStyle w:val="VerbatimChar"/>
        </w:rPr>
        <w:t xml:space="preserve">mlflow.sklearn.log_model()</w:t>
      </w:r>
      <w:r>
        <w:t xml:space="preserve"> </w:t>
      </w:r>
      <w:r>
        <w:t xml:space="preserve">in 3.x</w:t>
      </w:r>
      <w:r>
        <w:t xml:space="preserve"> </w:t>
      </w:r>
      <w:r>
        <w:t xml:space="preserve">now records the model as a decoupled</w:t>
      </w:r>
      <w:r>
        <w:t xml:space="preserve"> </w:t>
      </w:r>
      <w:r>
        <w:t xml:space="preserve">“LoggedModel”</w:t>
      </w:r>
      <w:r>
        <w:t xml:space="preserve"> </w:t>
      </w:r>
      <w:r>
        <w:t xml:space="preserve">that never appears</w:t>
      </w:r>
      <w:r>
        <w:t xml:space="preserve"> </w:t>
      </w:r>
      <w:r>
        <w:t xml:space="preserve">under the run’s own artifact tree, and the model pipeline’s</w:t>
      </w:r>
      <w:r>
        <w:t xml:space="preserve"> </w:t>
      </w:r>
      <w:r>
        <w:rPr>
          <w:rStyle w:val="VerbatimChar"/>
        </w:rPr>
        <w:t xml:space="preserve">FunctionTransformer</w:t>
      </w:r>
      <w:r>
        <w:t xml:space="preserve"> </w:t>
      </w:r>
      <w:r>
        <w:t xml:space="preserve">(wrapping the first-party clinical-feature function)</w:t>
      </w:r>
      <w:r>
        <w:t xml:space="preserve"> </w:t>
      </w:r>
      <w:r>
        <w:t xml:space="preserve">is rejected by the new default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serialization as an</w:t>
      </w:r>
      <w:r>
        <w:t xml:space="preserve"> </w:t>
      </w:r>
      <w:r>
        <w:t xml:space="preserve">“untrusted</w:t>
      </w:r>
      <w:r>
        <w:t xml:space="preserve"> </w:t>
      </w:r>
      <w:r>
        <w:t xml:space="preserve">type.”</w:t>
      </w:r>
      <w:r>
        <w:t xml:space="preserve"> </w:t>
      </w:r>
      <w:r>
        <w:t xml:space="preserve">Both were resolved together by saving the model to a temp directory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serialization_format="cloudpickle"</w:t>
      </w:r>
      <w:r>
        <w:t xml:space="preserve"> </w:t>
      </w:r>
      <w:r>
        <w:t xml:space="preserve">and uploading it as a run</w:t>
      </w:r>
      <w:r>
        <w:t xml:space="preserve"> </w:t>
      </w:r>
      <w:r>
        <w:t xml:space="preserve">artifact explicitly — restoring the classic run-scoped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folder and</w:t>
      </w:r>
      <w:r>
        <w:t xml:space="preserve"> </w:t>
      </w:r>
      <w:r>
        <w:t xml:space="preserve">keeping the custom transformer loadable, verified end-to-end by reloading</w:t>
      </w:r>
      <w:r>
        <w:t xml:space="preserve"> </w:t>
      </w:r>
      <w:r>
        <w:t xml:space="preserve">each run’s model with</w:t>
      </w:r>
      <w:r>
        <w:t xml:space="preserve"> </w:t>
      </w:r>
      <w:r>
        <w:rPr>
          <w:rStyle w:val="VerbatimChar"/>
        </w:rPr>
        <w:t xml:space="preserve">mlflow.sklearn.load_model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.predict()</w:t>
      </w:r>
      <w:r>
        <w:t xml:space="preserve">.</w:t>
      </w:r>
    </w:p>
    <w:bookmarkEnd w:id="33"/>
    <w:bookmarkStart w:id="34" w:name="packaging-reproducibility"/>
    <w:p>
      <w:pPr>
        <w:pStyle w:val="Heading2"/>
      </w:pPr>
      <w:r>
        <w:t xml:space="preserve">5. Packaging &amp; Reproducibility</w:t>
      </w:r>
    </w:p>
    <w:p>
      <w:pPr>
        <w:pStyle w:val="FirstParagraph"/>
      </w:pPr>
      <w:r>
        <w:t xml:space="preserve">The best run — selected deterministically as the argmax of test ROC-AUC</w:t>
      </w:r>
      <w:r>
        <w:t xml:space="preserve"> </w:t>
      </w:r>
      <w:r>
        <w:t xml:space="preserve">over the full-grid runs, which the fixed seed makes reproducible — is</w:t>
      </w:r>
      <w:r>
        <w:t xml:space="preserve"> </w:t>
      </w:r>
      <w:r>
        <w:t xml:space="preserve">exported in two formats:</w:t>
      </w:r>
      <w:r>
        <w:t xml:space="preserve"> </w:t>
      </w:r>
      <w:r>
        <w:rPr>
          <w:rStyle w:val="VerbatimChar"/>
        </w:rPr>
        <w:t xml:space="preserve">models/heart_disease_pipeline.joblib</w:t>
      </w:r>
      <w:r>
        <w:t xml:space="preserve">, the</w:t>
      </w:r>
      <w:r>
        <w:t xml:space="preserve"> </w:t>
      </w:r>
      <w:r>
        <w:t xml:space="preserve">canonical serving artifact loadable with scikit-learn and joblib alone</w:t>
      </w:r>
      <w:r>
        <w:t xml:space="preserve"> </w:t>
      </w:r>
      <w:r>
        <w:t xml:space="preserve">(no MLflow dependency at inference time), and</w:t>
      </w:r>
      <w:r>
        <w:t xml:space="preserve"> </w:t>
      </w:r>
      <w:r>
        <w:rPr>
          <w:rStyle w:val="VerbatimChar"/>
        </w:rPr>
        <w:t xml:space="preserve">models/mlflow_model/</w:t>
      </w:r>
      <w:r>
        <w:t xml:space="preserve">, the</w:t>
      </w:r>
      <w:r>
        <w:t xml:space="preserve"> </w:t>
      </w:r>
      <w:r>
        <w:t xml:space="preserve">same pipeline in MLflow’s own format for that deliverable. A companion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records the source run id, its metrics, package</w:t>
      </w:r>
      <w:r>
        <w:t xml:space="preserve"> </w:t>
      </w:r>
      <w:r>
        <w:t xml:space="preserve">versions, and the expected input schema, so a fresh clone or a grader can</w:t>
      </w:r>
      <w:r>
        <w:t xml:space="preserve"> </w:t>
      </w:r>
      <w:r>
        <w:t xml:space="preserve">verify provenance without access to the MLflow store. All three are</w:t>
      </w:r>
      <w:r>
        <w:t xml:space="preserve"> </w:t>
      </w:r>
      <w:r>
        <w:t xml:space="preserve">committed to git alongside a fully pinned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so serving</w:t>
      </w:r>
      <w:r>
        <w:t xml:space="preserve"> </w:t>
      </w:r>
      <w:r>
        <w:t xml:space="preserve">and the CI pipeline work from a clean checkout with no retraining required.</w:t>
      </w:r>
      <w:r>
        <w:t xml:space="preserve"> </w:t>
      </w:r>
      <w:r>
        <w:t xml:space="preserve">Pickle version-fragility is mitigated by pinning dependency versions and</w:t>
      </w:r>
      <w:r>
        <w:t xml:space="preserve"> </w:t>
      </w:r>
      <w:r>
        <w:t xml:space="preserve">recording them explicitly in the metadata file.</w:t>
      </w:r>
    </w:p>
    <w:p>
      <w:pPr>
        <w:pStyle w:val="BodyText"/>
      </w:pPr>
      <w:r>
        <w:t xml:space="preserve">Reproducibility was also treated as something to verify, not assume: adding</w:t>
      </w:r>
      <w:r>
        <w:t xml:space="preserve"> </w:t>
      </w:r>
      <w:r>
        <w:t xml:space="preserve">scikit-learn, xgboost, mlflow, and joblib to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t xml:space="preserve">re-freezing with exact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pins surfaced that installing MLflow forces</w:t>
      </w:r>
      <w:r>
        <w:t xml:space="preserve"> </w:t>
      </w:r>
      <w:r>
        <w:t xml:space="preserve">pandas down from 3.0.3 to 2.3.3, because MLflow 3.14.0 declares</w:t>
      </w:r>
      <w:r>
        <w:t xml:space="preserve"> </w:t>
      </w:r>
      <w:r>
        <w:rPr>
          <w:rStyle w:val="VerbatimChar"/>
        </w:rPr>
        <w:t xml:space="preserve">Requires-Dist: pandas&lt;3</w:t>
      </w:r>
      <w:r>
        <w:t xml:space="preserve">. Rather than leave that conflict implicit, it was</w:t>
      </w:r>
      <w:r>
        <w:t xml:space="preserve"> </w:t>
      </w:r>
      <w:r>
        <w:t xml:space="preserve">confirmed directly (</w:t>
      </w:r>
      <w:r>
        <w:rPr>
          <w:rStyle w:val="VerbatimChar"/>
        </w:rPr>
        <w:t xml:space="preserve">pip install --dry-run</w:t>
      </w:r>
      <w:r>
        <w:t xml:space="preserve"> </w:t>
      </w:r>
      <w:r>
        <w:t xml:space="preserve">against the newer pandas raised</w:t>
      </w:r>
      <w:r>
        <w:t xml:space="preserve"> </w:t>
      </w:r>
      <w:r>
        <w:rPr>
          <w:rStyle w:val="VerbatimChar"/>
        </w:rPr>
        <w:t xml:space="preserve">ResolutionImpossible</w:t>
      </w:r>
      <w:r>
        <w:t xml:space="preserve">) and the full test suite was re-run against the</w:t>
      </w:r>
      <w:r>
        <w:t xml:space="preserve"> </w:t>
      </w:r>
      <w:r>
        <w:t xml:space="preserve">downgraded pin before committing it, so the pinned set is a verified</w:t>
      </w:r>
      <w:r>
        <w:t xml:space="preserve"> </w:t>
      </w:r>
      <w:r>
        <w:t xml:space="preserve">mutually-compatible combination rather than an assumed one.</w:t>
      </w:r>
    </w:p>
    <w:bookmarkEnd w:id="34"/>
    <w:bookmarkStart w:id="41" w:name="cicd"/>
    <w:p>
      <w:pPr>
        <w:pStyle w:val="Heading2"/>
      </w:pPr>
      <w:r>
        <w:t xml:space="preserve">6. CI/CD</w:t>
      </w:r>
    </w:p>
    <w:p>
      <w:pPr>
        <w:pStyle w:val="FirstParagraph"/>
      </w:pPr>
      <w:r>
        <w:t xml:space="preserve">The GitHub Actions pipeline (</w:t>
      </w:r>
      <w:r>
        <w:rPr>
          <w:rStyle w:val="VerbatimChar"/>
        </w:rPr>
        <w:t xml:space="preserve">.github/workflows/ci.yml</w:t>
      </w:r>
      <w:r>
        <w:t xml:space="preserve">) runs four jobs on</w:t>
      </w:r>
      <w:r>
        <w:t xml:space="preserve"> </w:t>
      </w:r>
      <w:r>
        <w:t xml:space="preserve">every push and pull request:</w:t>
      </w:r>
      <w:r>
        <w:t xml:space="preserve"> </w:t>
      </w:r>
      <w:r>
        <w:rPr>
          <w:b/>
          <w:bCs/>
        </w:rPr>
        <w:t xml:space="preserve">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— pycodestyle errors,</w:t>
      </w:r>
      <w:r>
        <w:t xml:space="preserve"> </w:t>
      </w:r>
      <w:r>
        <w:t xml:space="preserve">pyflakes, import order) and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(the full pytest suite, JUnit results</w:t>
      </w:r>
      <w:r>
        <w:t xml:space="preserve"> </w:t>
      </w:r>
      <w:r>
        <w:t xml:space="preserve">uploaded as an artifact even on failure) run in parallel, followed by</w:t>
      </w:r>
      <w:r>
        <w:t xml:space="preserve"> </w:t>
      </w:r>
      <w:r>
        <w:rPr>
          <w:b/>
          <w:bCs/>
        </w:rPr>
        <w:t xml:space="preserve">train-smoke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ml.models.train --quick</w:t>
      </w:r>
      <w:r>
        <w:t xml:space="preserve">, exercising all six</w:t>
      </w:r>
      <w:r>
        <w:t xml:space="preserve"> </w:t>
      </w:r>
      <w:r>
        <w:t xml:space="preserve">model/feature combinations end-to-end with quick grids, log and tracking</w:t>
      </w:r>
      <w:r>
        <w:t xml:space="preserve"> </w:t>
      </w:r>
      <w:r>
        <w:t xml:space="preserve">store uploaded as artifacts), and a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build-validation job. Jobs</w:t>
      </w:r>
      <w:r>
        <w:t xml:space="preserve"> </w:t>
      </w:r>
      <w:r>
        <w:t xml:space="preserve">carry timeouts and read-only permissions by default, and artifacts are</w:t>
      </w:r>
      <w:r>
        <w:t xml:space="preserve"> </w:t>
      </w:r>
      <w:r>
        <w:t xml:space="preserve">uploaded on every run (</w:t>
      </w:r>
      <w:r>
        <w:rPr>
          <w:rStyle w:val="VerbatimChar"/>
        </w:rPr>
        <w:t xml:space="preserve">if: always()</w:t>
      </w:r>
      <w:r>
        <w:t xml:space="preserve">) specifically so logs are available</w:t>
      </w:r>
      <w:r>
        <w:t xml:space="preserve"> </w:t>
      </w:r>
      <w:r>
        <w:t xml:space="preserve">exactly when a run fails and they matter most. Linting runs a single tool,</w:t>
      </w:r>
      <w:r>
        <w:t xml:space="preserve"> </w:t>
      </w:r>
      <w:r>
        <w:t xml:space="preserve">ruff, configured for pycodestyle errors, pyflakes, and import order with a</w:t>
      </w:r>
      <w:r>
        <w:t xml:space="preserve"> </w:t>
      </w:r>
      <w:r>
        <w:t xml:space="preserve">100-character line length; the smoke job deliberately does not run the</w:t>
      </w:r>
      <w:r>
        <w:t xml:space="preserve"> </w:t>
      </w:r>
      <w:r>
        <w:t xml:space="preserve">export step, since the pipeline’s own</w:t>
      </w:r>
      <w:r>
        <w:t xml:space="preserve"> </w:t>
      </w:r>
      <w:r>
        <w:rPr>
          <w:rStyle w:val="VerbatimChar"/>
        </w:rPr>
        <w:t xml:space="preserve">pick_best</w:t>
      </w:r>
      <w:r>
        <w:t xml:space="preserve"> </w:t>
      </w:r>
      <w:r>
        <w:t xml:space="preserve">logic rejects quick-mode</w:t>
      </w:r>
      <w:r>
        <w:t xml:space="preserve"> </w:t>
      </w:r>
      <w:r>
        <w:t xml:space="preserve">runs by design, and carving out a CI-only bypass would weaken that</w:t>
      </w:r>
      <w:r>
        <w:t xml:space="preserve"> </w:t>
      </w:r>
      <w:r>
        <w:t xml:space="preserve">guarantee rather than test it — export correctness is instead covered by</w:t>
      </w:r>
      <w:r>
        <w:t xml:space="preserve"> </w:t>
      </w:r>
      <w:r>
        <w:t xml:space="preserve">unit tests in the test job. Python is pinned to 3.13 across CI and the</w:t>
      </w:r>
      <w:r>
        <w:t xml:space="preserve"> </w:t>
      </w:r>
      <w:r>
        <w:t xml:space="preserve">serving image specifically because the committed model pickle was built</w:t>
      </w:r>
      <w:r>
        <w:t xml:space="preserve"> </w:t>
      </w:r>
      <w:r>
        <w:t xml:space="preserve">under 3.13.11, and cross-minor-version unpickling is the most realistic</w:t>
      </w:r>
      <w:r>
        <w:t xml:space="preserve"> </w:t>
      </w:r>
      <w:r>
        <w:t xml:space="preserve">way a pipeline like this actually breaks.</w:t>
      </w:r>
    </w:p>
    <w:p>
      <w:pPr>
        <w:pStyle w:val="BodyText"/>
      </w:pPr>
      <w:r>
        <w:t xml:space="preserve">To demonstrate the gate is real rather than decorative, a deliberately</w:t>
      </w:r>
      <w:r>
        <w:t xml:space="preserve"> </w:t>
      </w:r>
      <w:r>
        <w:t xml:space="preserve">broken commit was pushed to trigger a red run: lint/test/train-smoke fail</w:t>
      </w:r>
      <w:r>
        <w:t xml:space="preserve"> </w:t>
      </w:r>
      <w:r>
        <w:t xml:space="preserve">fast and the pipeline reports failure, then the fix was pushed to restore</w:t>
      </w:r>
      <w:r>
        <w:t xml:space="preserve"> </w:t>
      </w:r>
      <w:r>
        <w:t xml:space="preserve">a green run.</w:t>
      </w:r>
    </w:p>
    <w:p>
      <w:pPr>
        <w:pStyle w:val="BodyText"/>
      </w:pPr>
      <w:r>
        <w:drawing>
          <wp:inline>
            <wp:extent cx="5334000" cy="2172995"/>
            <wp:effectExtent b="0" l="0" r="0" t="0"/>
            <wp:docPr descr="Green CI run" title="" id="36" name="Picture"/>
            <a:graphic>
              <a:graphicData uri="http://schemas.openxmlformats.org/drawingml/2006/picture">
                <pic:pic>
                  <pic:nvPicPr>
                    <pic:cNvPr descr="../../screenshots/cicd/01-green-run-summar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24274"/>
            <wp:effectExtent b="0" l="0" r="0" t="0"/>
            <wp:docPr descr="Red CI run demonstrating the gate" title="" id="39" name="Picture"/>
            <a:graphic>
              <a:graphicData uri="http://schemas.openxmlformats.org/drawingml/2006/picture">
                <pic:pic>
                  <pic:nvPicPr>
                    <pic:cNvPr descr="../../screenshots/cicd/03-red-run-summar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containerization"/>
    <w:p>
      <w:pPr>
        <w:pStyle w:val="Heading2"/>
      </w:pPr>
      <w:r>
        <w:t xml:space="preserve">7. Containerization</w:t>
      </w:r>
    </w:p>
    <w:p>
      <w:pPr>
        <w:pStyle w:val="FirstParagraph"/>
      </w:pPr>
      <w:r>
        <w:t xml:space="preserve">The serving image installs only</w:t>
      </w:r>
      <w:r>
        <w:t xml:space="preserve"> </w:t>
      </w:r>
      <w:r>
        <w:rPr>
          <w:rStyle w:val="VerbatimChar"/>
        </w:rPr>
        <w:t xml:space="preserve">api/requirements.txt</w:t>
      </w:r>
      <w:r>
        <w:t xml:space="preserve"> </w:t>
      </w:r>
      <w:r>
        <w:t xml:space="preserve">— FastAPI, uvicorn,</w:t>
      </w:r>
      <w:r>
        <w:t xml:space="preserve"> </w:t>
      </w:r>
      <w:r>
        <w:t xml:space="preserve">scikit-learn, pandas, numpy, and joblib, eight pins mirrored from the root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— and copies in</w:t>
      </w:r>
      <w:r>
        <w:t xml:space="preserve"> </w:t>
      </w:r>
      <w:r>
        <w:rPr>
          <w:rStyle w:val="VerbatimChar"/>
        </w:rPr>
        <w:t xml:space="preserve">ml/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api/</w:t>
      </w:r>
      <w:r>
        <w:t xml:space="preserve">; it</w:t>
      </w:r>
      <w:r>
        <w:t xml:space="preserve"> </w:t>
      </w:r>
      <w:r>
        <w:t xml:space="preserve">deliberately excludes MLflow, XGBoost, and the plotting stack, since the</w:t>
      </w:r>
      <w:r>
        <w:t xml:space="preserve"> </w:t>
      </w:r>
      <w:r>
        <w:t xml:space="preserve">exported joblib pipeline only needs scikit-learn, pandas, and the</w:t>
      </w:r>
      <w:r>
        <w:t xml:space="preserve"> </w:t>
      </w:r>
      <w:r>
        <w:rPr>
          <w:rStyle w:val="VerbatimChar"/>
        </w:rPr>
        <w:t xml:space="preserve">ml</w:t>
      </w:r>
      <w:r>
        <w:t xml:space="preserve"> </w:t>
      </w:r>
      <w:r>
        <w:t xml:space="preserve">package at inference time. This roughly halves the image size relative to</w:t>
      </w:r>
      <w:r>
        <w:t xml:space="preserve"> </w:t>
      </w:r>
      <w:r>
        <w:t xml:space="preserve">installing the full training requirements and shrinks the attack surface.</w:t>
      </w:r>
      <w:r>
        <w:t xml:space="preserve"> </w:t>
      </w:r>
      <w:r>
        <w:t xml:space="preserve">The image runs as a non-root user on a</w:t>
      </w:r>
      <w:r>
        <w:t xml:space="preserve"> </w:t>
      </w:r>
      <w:r>
        <w:rPr>
          <w:rStyle w:val="VerbatimChar"/>
        </w:rPr>
        <w:t xml:space="preserve">python:3.13-slim</w:t>
      </w:r>
      <w:r>
        <w:t xml:space="preserve"> </w:t>
      </w:r>
      <w:r>
        <w:t xml:space="preserve">base (matching</w:t>
      </w:r>
      <w:r>
        <w:t xml:space="preserve"> </w:t>
      </w:r>
      <w:r>
        <w:t xml:space="preserve">the Python version the committed pickle was built under) with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BodyText"/>
      </w:pPr>
      <w:r>
        <w:t xml:space="preserve">Local proof: the image was built and run with</w:t>
      </w:r>
      <w:r>
        <w:t xml:space="preserve"> </w:t>
      </w:r>
      <w:r>
        <w:rPr>
          <w:rStyle w:val="VerbatimChar"/>
        </w:rPr>
        <w:t xml:space="preserve">docker run -d -p 8000:8000 heart-disease-api</w:t>
      </w:r>
      <w:r>
        <w:t xml:space="preserve">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{"status":"ok","model_loaded":true}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call against the sample request returned a prediction with</w:t>
      </w:r>
      <w:r>
        <w:t xml:space="preserve"> </w:t>
      </w:r>
      <w:r>
        <w:t xml:space="preserve">probability 0.3326, both confirmed against the container’s own logs</w:t>
      </w:r>
      <w:r>
        <w:t xml:space="preserve"> </w:t>
      </w:r>
      <w:r>
        <w:t xml:space="preserve">(full transcript in</w:t>
      </w:r>
      <w:r>
        <w:t xml:space="preserve"> </w:t>
      </w:r>
      <w:r>
        <w:rPr>
          <w:rStyle w:val="VerbatimChar"/>
        </w:rPr>
        <w:t xml:space="preserve">docs/figures/api/local_container_proof.md</w:t>
      </w:r>
      <w:r>
        <w:t xml:space="preserve">).</w:t>
      </w:r>
    </w:p>
    <w:p>
      <w:pPr>
        <w:pStyle w:val="CaptionedFigure"/>
      </w:pPr>
      <w:r>
        <w:drawing>
          <wp:inline>
            <wp:extent cx="5334000" cy="2321663"/>
            <wp:effectExtent b="0" l="0" r="0" t="0"/>
            <wp:docPr descr="Swagger overview" title="" id="43" name="Picture"/>
            <a:graphic>
              <a:graphicData uri="http://schemas.openxmlformats.org/drawingml/2006/picture">
                <pic:pic>
                  <pic:nvPicPr>
                    <pic:cNvPr descr="../../screenshots/api/01-swagger-overvie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overview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schema itself enforces the UCI data dictionary strictly at</w:t>
      </w:r>
      <w:r>
        <w:t xml:space="preserve"> </w:t>
      </w:r>
      <w:r>
        <w:t xml:space="preserve">the API boundary — enums for categorical codes (</w:t>
      </w:r>
      <w:r>
        <w:rPr>
          <w:rStyle w:val="VerbatimChar"/>
        </w:rPr>
        <w:t xml:space="preserve">cp</w:t>
      </w:r>
      <w:r>
        <w:t xml:space="preserve"> </w:t>
      </w:r>
      <w:r>
        <w:t xml:space="preserve">1–4,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{3,6,7},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0–3, the various binary flags) and bounded ranges for continuous</w:t>
      </w:r>
      <w:r>
        <w:t xml:space="preserve"> </w:t>
      </w:r>
      <w:r>
        <w:t xml:space="preserve">clinical values (age 18–100, resting blood pressure 80–220, cholesterol</w:t>
      </w:r>
      <w:r>
        <w:t xml:space="preserve"> </w:t>
      </w:r>
      <w:r>
        <w:t xml:space="preserve">100–600, max heart rate 60–220,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0–7), rejecting anything outside</w:t>
      </w:r>
      <w:r>
        <w:t xml:space="preserve"> </w:t>
      </w:r>
      <w:r>
        <w:t xml:space="preserve">those bounds with a structured 422 rather than accepting it. This is</w:t>
      </w:r>
      <w:r>
        <w:t xml:space="preserve"> </w:t>
      </w:r>
      <w:r>
        <w:t xml:space="preserve">deliberately stricter than the pipeline itself needs to be: the fitted</w:t>
      </w:r>
      <w:r>
        <w:t xml:space="preserve"> </w:t>
      </w:r>
      <w:r>
        <w:t xml:space="preserve">pipeline’s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 </w:t>
      </w:r>
      <w:r>
        <w:t xml:space="preserve">would silently</w:t>
      </w:r>
      <w:r>
        <w:t xml:space="preserve"> </w:t>
      </w:r>
      <w:r>
        <w:t xml:space="preserve">zero-out an unrecognized category code and still return a prediction,</w:t>
      </w:r>
      <w:r>
        <w:t xml:space="preserve"> </w:t>
      </w:r>
      <w:r>
        <w:t xml:space="preserve">which is tolerable for batch scoring but not for a clinical-facing</w:t>
      </w:r>
      <w:r>
        <w:t xml:space="preserve"> </w:t>
      </w:r>
      <w:r>
        <w:t xml:space="preserve">endpoint, where silent garbage-in is worse than an explicit rejection. The</w:t>
      </w:r>
      <w:r>
        <w:t xml:space="preserve"> </w:t>
      </w:r>
      <w:r>
        <w:t xml:space="preserve">pipeline’s own tolerance is kept as a second line of defense underneath the</w:t>
      </w:r>
      <w:r>
        <w:t xml:space="preserve"> </w:t>
      </w:r>
      <w:r>
        <w:t xml:space="preserve">API-level validation.</w:t>
      </w:r>
    </w:p>
    <w:bookmarkEnd w:id="45"/>
    <w:bookmarkStart w:id="52" w:name="deployment"/>
    <w:p>
      <w:pPr>
        <w:pStyle w:val="Heading2"/>
      </w:pPr>
      <w:r>
        <w:t xml:space="preserve">8. Deployment</w:t>
      </w:r>
    </w:p>
    <w:p>
      <w:pPr>
        <w:pStyle w:val="FirstParagraph"/>
      </w:pPr>
      <w:r>
        <w:t xml:space="preserve">The deployment target was originally planned as AWS EKS with ECR as the</w:t>
      </w:r>
      <w:r>
        <w:t xml:space="preserve"> </w:t>
      </w:r>
      <w:r>
        <w:t xml:space="preserve">registry. That plan changed on account-constraint grounds, not preference:</w:t>
      </w:r>
      <w:r>
        <w:t xml:space="preserve"> </w:t>
      </w:r>
      <w:r>
        <w:t xml:space="preserve">the available AWS account cannot create IAM roles and cannot expose public</w:t>
      </w:r>
      <w:r>
        <w:t xml:space="preserve"> </w:t>
      </w:r>
      <w:r>
        <w:t xml:space="preserve">services, being confined to a private VPC with only private subnets, and</w:t>
      </w:r>
      <w:r>
        <w:t xml:space="preserve"> </w:t>
      </w:r>
      <w:r>
        <w:rPr>
          <w:rStyle w:val="VerbatimChar"/>
        </w:rPr>
        <w:t xml:space="preserve">eksctl</w:t>
      </w:r>
      <w:r>
        <w:t xml:space="preserve"> </w:t>
      </w:r>
      <w:r>
        <w:t xml:space="preserve">provisions IAM roles via CloudFormation as part of cluster</w:t>
      </w:r>
      <w:r>
        <w:t xml:space="preserve"> </w:t>
      </w:r>
      <w:r>
        <w:t xml:space="preserve">creation — so EKS cluster creation fails outright under those guardrails.</w:t>
      </w:r>
      <w:r>
        <w:t xml:space="preserve"> </w:t>
      </w:r>
      <w:r>
        <w:t xml:space="preserve">Rather than fight the account boundary, the deployment target was pivoted</w:t>
      </w:r>
      <w:r>
        <w:t xml:space="preserve"> </w:t>
      </w:r>
      <w:r>
        <w:t xml:space="preserve">to Docker Desktop’s built-in Kubernetes cluster, a constraint-driven</w:t>
      </w:r>
      <w:r>
        <w:t xml:space="preserve"> </w:t>
      </w:r>
      <w:r>
        <w:t xml:space="preserve">architecture decision explicitly accepted by the assignment FAQ (which</w:t>
      </w:r>
      <w:r>
        <w:t xml:space="preserve"> </w:t>
      </w:r>
      <w:r>
        <w:t xml:space="preserve">allows Minikube/Docker Desktop and local access instructions in place of a</w:t>
      </w:r>
      <w:r>
        <w:t xml:space="preserve"> </w:t>
      </w:r>
      <w:r>
        <w:t xml:space="preserve">public URL) and one that satisfies the rubric fully — Deployment and</w:t>
      </w:r>
      <w:r>
        <w:t xml:space="preserve"> </w:t>
      </w:r>
      <w:r>
        <w:t xml:space="preserve">Service YAML, LoadBalancer exposure, verifiable endpoints — with zero</w:t>
      </w:r>
      <w:r>
        <w:t xml:space="preserve"> </w:t>
      </w:r>
      <w:r>
        <w:t xml:space="preserve">account risk. Two alternatives were weighed and set aside: EKS against</w:t>
      </w:r>
      <w:r>
        <w:t xml:space="preserve"> </w:t>
      </w:r>
      <w:r>
        <w:t xml:space="preserve">pre-existing IAM roles with an internal load balancer, whose feasibility</w:t>
      </w:r>
      <w:r>
        <w:t xml:space="preserve"> </w:t>
      </w:r>
      <w:r>
        <w:t xml:space="preserve">could not be verified inside the restricted account (every step would have</w:t>
      </w:r>
      <w:r>
        <w:t xml:space="preserve"> </w:t>
      </w:r>
      <w:r>
        <w:t xml:space="preserve">to be relayed through a SageMaker terminal with no direct visibility); and</w:t>
      </w:r>
      <w:r>
        <w:t xml:space="preserve"> </w:t>
      </w:r>
      <w:r>
        <w:t xml:space="preserve">ECS in the account’s private subnets, which the account does permit but</w:t>
      </w:r>
      <w:r>
        <w:t xml:space="preserve"> </w:t>
      </w:r>
      <w:r>
        <w:t xml:space="preserve">which produces a task-definition artifact rather than the Kubernetes</w:t>
      </w:r>
      <w:r>
        <w:t xml:space="preserve"> </w:t>
      </w:r>
      <w:r>
        <w:t xml:space="preserve">Deployment/Service YAML the FAQ and rubric expect — a technically working</w:t>
      </w:r>
      <w:r>
        <w:t xml:space="preserve"> </w:t>
      </w:r>
      <w:r>
        <w:t xml:space="preserve">answer to a different question.</w:t>
      </w:r>
    </w:p>
    <w:p>
      <w:pPr>
        <w:pStyle w:val="BodyText"/>
      </w:pPr>
      <w:r>
        <w:t xml:space="preserve">The manifests define a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 </w:t>
      </w:r>
      <w:r>
        <w:t xml:space="preserve">namespace, a 2-replica Deployment</w:t>
      </w:r>
      <w:r>
        <w:t xml:space="preserve"> </w:t>
      </w:r>
      <w:r>
        <w:t xml:space="preserve">with readiness and liveness probes 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(Kubernetes ignores</w:t>
      </w:r>
      <w:r>
        <w:t xml:space="preserve"> </w:t>
      </w:r>
      <w:r>
        <w:t xml:space="preserve">the Dockerfile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so the probes are the real gate — with the</w:t>
      </w:r>
      <w:r>
        <w:t xml:space="preserve"> </w:t>
      </w:r>
      <w:r>
        <w:t xml:space="preserve">model loaded at import time, a pod with a broken artifact never becomes</w:t>
      </w:r>
      <w:r>
        <w:t xml:space="preserve"> </w:t>
      </w:r>
      <w:r>
        <w:t xml:space="preserve">Ready), and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mapping port 80 to the pods’ 8000. The</w:t>
      </w:r>
      <w:r>
        <w:t xml:space="preserve"> </w:t>
      </w:r>
      <w:r>
        <w:t xml:space="preserve">image is consumed from the local Docker image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imagePullPolicy: IfNotPresent</w:t>
      </w:r>
      <w:r>
        <w:t xml:space="preserve">), with no registry involved.</w:t>
      </w:r>
    </w:p>
    <w:p>
      <w:pPr>
        <w:pStyle w:val="BodyText"/>
      </w:pPr>
      <w:r>
        <w:t xml:space="preserve">Verification on a live 2-node cluster (</w:t>
      </w:r>
      <w:r>
        <w:rPr>
          <w:rStyle w:val="VerbatimChar"/>
        </w:rPr>
        <w:t xml:space="preserve">desktop-control-plane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desktop-worker</w:t>
      </w:r>
      <w:r>
        <w:t xml:space="preserve">, v1.36.1) confirmed both nodes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both 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READY 1/1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http://localhost/health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call both succeeded through the LoadBalancer Service. A rolling-restart</w:t>
      </w:r>
      <w:r>
        <w:t xml:space="preserve"> </w:t>
      </w:r>
      <w:r>
        <w:t xml:space="preserve">demo (</w:t>
      </w:r>
      <w:r>
        <w:rPr>
          <w:rStyle w:val="VerbatimChar"/>
        </w:rPr>
        <w:t xml:space="preserve">kubectl rollout restart</w:t>
      </w:r>
      <w:r>
        <w:t xml:space="preserve">) issued six consecutive health-check</w:t>
      </w:r>
      <w:r>
        <w:t xml:space="preserve"> </w:t>
      </w:r>
      <w:r>
        <w:t xml:space="preserve">requests during the restart — all returned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confirming zero-downtime</w:t>
      </w:r>
      <w:r>
        <w:t xml:space="preserve"> </w:t>
      </w:r>
      <w:r>
        <w:t xml:space="preserve">rollout while both pods were replaced with fresh ones.</w:t>
      </w:r>
    </w:p>
    <w:p>
      <w:pPr>
        <w:pStyle w:val="BodyText"/>
      </w:pPr>
      <w:r>
        <w:drawing>
          <wp:inline>
            <wp:extent cx="5334000" cy="1413186"/>
            <wp:effectExtent b="0" l="0" r="0" t="0"/>
            <wp:docPr descr="Cluster nodes and resources" title="" id="47" name="Picture"/>
            <a:graphic>
              <a:graphicData uri="http://schemas.openxmlformats.org/drawingml/2006/picture">
                <pic:pic>
                  <pic:nvPicPr>
                    <pic:cNvPr descr="../../screenshots/deploy/02-kubectl-nodes-and-all-resourc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84721"/>
            <wp:effectExtent b="0" l="0" r="0" t="0"/>
            <wp:docPr descr="Rolling restart sequence" title="" id="50" name="Picture"/>
            <a:graphic>
              <a:graphicData uri="http://schemas.openxmlformats.org/drawingml/2006/picture">
                <pic:pic>
                  <pic:nvPicPr>
                    <pic:cNvPr descr="../../screenshots/deploy/06-rolling-restart-sequ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monitoring-logging"/>
    <w:p>
      <w:pPr>
        <w:pStyle w:val="Heading2"/>
      </w:pPr>
      <w:r>
        <w:t xml:space="preserve">9. Monitoring &amp; Logging</w:t>
      </w:r>
    </w:p>
    <w:p>
      <w:pPr>
        <w:pStyle w:val="FirstParagraph"/>
      </w:pPr>
      <w:r>
        <w:t xml:space="preserve">Every prediction request emits a structured application log line —</w:t>
      </w:r>
      <w:r>
        <w:t xml:space="preserve"> </w:t>
      </w:r>
      <w:r>
        <w:rPr>
          <w:rStyle w:val="VerbatimChar"/>
        </w:rPr>
        <w:t xml:space="preserve">heart_disease_api INFO predict prediction=&lt;0|1&gt; probability=&lt;p&gt; latency_ms=&lt;t&gt;</w:t>
      </w:r>
      <w:r>
        <w:t xml:space="preserve"> </w:t>
      </w:r>
      <w:r>
        <w:t xml:space="preserve">— alongside uvicorn’s own access log entry for the same</w:t>
      </w:r>
      <w:r>
        <w:t xml:space="preserve"> </w:t>
      </w:r>
      <w:r>
        <w:t xml:space="preserve">request, giving both a human-readable audit trail and a stable, greppable</w:t>
      </w:r>
      <w:r>
        <w:t xml:space="preserve"> </w:t>
      </w:r>
      <w:r>
        <w:t xml:space="preserve">field format.</w:t>
      </w:r>
    </w:p>
    <w:p>
      <w:pPr>
        <w:pStyle w:val="BodyText"/>
      </w:pPr>
      <w:r>
        <w:t xml:space="preserve">Beyond logging, the API exposes 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via</w:t>
      </w:r>
      <w:r>
        <w:t xml:space="preserve"> </w:t>
      </w: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(standard HTTP request-rate, latency,</w:t>
      </w:r>
      <w:r>
        <w:t xml:space="preserve"> </w:t>
      </w:r>
      <w:r>
        <w:t xml:space="preserve">and status-code metrics) plus a custom domain counter,</w:t>
      </w:r>
      <w:r>
        <w:t xml:space="preserve"> </w:t>
      </w:r>
      <w:r>
        <w:rPr>
          <w:rStyle w:val="VerbatimChar"/>
        </w:rPr>
        <w:t xml:space="preserve">heart_disease_predictions_total{risk_label}</w:t>
      </w:r>
      <w:r>
        <w:t xml:space="preserve">, incremented on every</w:t>
      </w:r>
      <w:r>
        <w:t xml:space="preserve"> </w:t>
      </w:r>
      <w:r>
        <w:t xml:space="preserve">prediction — surfacing ML-aware signal (the mix of predicted classes over</w:t>
      </w:r>
      <w:r>
        <w:t xml:space="preserve"> </w:t>
      </w:r>
      <w:r>
        <w:t xml:space="preserve">time), not just HTTP plumbing. Prometheus and Grafana are deployed into the</w:t>
      </w:r>
      <w:r>
        <w:t xml:space="preserve"> </w:t>
      </w:r>
      <w:r>
        <w:t xml:space="preserve">same namespace, fully provisioned from ConfigMaps with a single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: Prometheus statically scrapes the API Service every 15s,</w:t>
      </w:r>
      <w:r>
        <w:t xml:space="preserve"> </w:t>
      </w:r>
      <w:r>
        <w:t xml:space="preserve">and Grafana (anonymous viewer access) serves a pre-built</w:t>
      </w:r>
      <w:r>
        <w:t xml:space="preserve"> </w:t>
      </w:r>
      <w:r>
        <w:t xml:space="preserve">“Heart Disease</w:t>
      </w:r>
      <w:r>
        <w:t xml:space="preserve"> </w:t>
      </w:r>
      <w:r>
        <w:t xml:space="preserve">API”</w:t>
      </w:r>
      <w:r>
        <w:t xml:space="preserve"> </w:t>
      </w:r>
      <w:r>
        <w:t xml:space="preserve">dashboard covering request rate, p50/p95 latency, non-2xx rate, and</w:t>
      </w:r>
      <w:r>
        <w:t xml:space="preserve"> </w:t>
      </w:r>
      <w:r>
        <w:t xml:space="preserve">predictions by risk label — both reachable via their own LoadBalancer</w:t>
      </w:r>
      <w:r>
        <w:t xml:space="preserve"> </w:t>
      </w:r>
      <w:r>
        <w:t xml:space="preserve">Services on 9090 and 3000. Live verification confirmed the Prometheus scrape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up</w:t>
      </w:r>
      <w:r>
        <w:t xml:space="preserve">, PromQL queries returning non-zero request-rate and prediction</w:t>
      </w:r>
      <w:r>
        <w:t xml:space="preserve"> </w:t>
      </w:r>
      <w:r>
        <w:t xml:space="preserve">counts, and Grafana’s health and dashboard endpoints both healthy.</w:t>
      </w:r>
    </w:p>
    <w:p>
      <w:pPr>
        <w:pStyle w:val="CaptionedFigure"/>
      </w:pPr>
      <w:r>
        <w:drawing>
          <wp:inline>
            <wp:extent cx="5334000" cy="2906197"/>
            <wp:effectExtent b="0" l="0" r="0" t="0"/>
            <wp:docPr descr="Grafana dashboard" title="" id="54" name="Picture"/>
            <a:graphic>
              <a:graphicData uri="http://schemas.openxmlformats.org/drawingml/2006/picture">
                <pic:pic>
                  <pic:nvPicPr>
                    <pic:cNvPr descr="../../screenshots/monitoring/01-grafana-dashboard-liv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</w:t>
      </w:r>
    </w:p>
    <w:p>
      <w:pPr>
        <w:pStyle w:val="BodyText"/>
      </w:pPr>
      <w:r>
        <w:t xml:space="preserve">One artifact of the setup is visible in the dashboard’s</w:t>
      </w:r>
      <w:r>
        <w:t xml:space="preserve"> </w:t>
      </w:r>
      <w:r>
        <w:t xml:space="preserve">“predictions by</w:t>
      </w:r>
      <w:r>
        <w:t xml:space="preserve"> </w:t>
      </w:r>
      <w:r>
        <w:t xml:space="preserve">class”</w:t>
      </w:r>
      <w:r>
        <w:t xml:space="preserve"> </w:t>
      </w:r>
      <w:r>
        <w:t xml:space="preserve">panel: Prometheus reaches the API only through its Service, which</w:t>
      </w:r>
      <w:r>
        <w:t xml:space="preserve"> </w:t>
      </w:r>
      <w:r>
        <w:t xml:space="preserve">load-balances each scrape between the two pods, so the counter it sees</w:t>
      </w:r>
      <w:r>
        <w:t xml:space="preserve"> </w:t>
      </w:r>
      <w:r>
        <w:t xml:space="preserve">alternates between each pod’s independently-accumulated value rather than</w:t>
      </w:r>
      <w:r>
        <w:t xml:space="preserve"> </w:t>
      </w:r>
      <w:r>
        <w:t xml:space="preserve">climbing monotonically — a visible sawtooth rather than a smooth line. A</w:t>
      </w:r>
      <w:r>
        <w:t xml:space="preserve"> </w:t>
      </w:r>
      <w:r>
        <w:t xml:space="preserve">per-pod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label (or scraping through a headless Service to reach</w:t>
      </w:r>
      <w:r>
        <w:t xml:space="preserve"> </w:t>
      </w:r>
      <w:r>
        <w:t xml:space="preserve">each pod directly) would resolve this by letting Prometheus sum across</w:t>
      </w:r>
      <w:r>
        <w:t xml:space="preserve"> </w:t>
      </w:r>
      <w:r>
        <w:t xml:space="preserve">pods instead of sampling one at a time; this is accepted here as expected</w:t>
      </w:r>
      <w:r>
        <w:t xml:space="preserve"> </w:t>
      </w:r>
      <w:r>
        <w:t xml:space="preserve">demo behavior rather than a bug, and noted rather than silently left</w:t>
      </w:r>
      <w:r>
        <w:t xml:space="preserve"> </w:t>
      </w:r>
      <w:r>
        <w:t xml:space="preserve">unexplained.</w:t>
      </w:r>
    </w:p>
    <w:p>
      <w:pPr>
        <w:pStyle w:val="BodyText"/>
      </w:pPr>
      <w:r>
        <w:t xml:space="preserve">The monitoring stack, like the API deployment, is intentionally ephemeral:</w:t>
      </w:r>
      <w:r>
        <w:t xml:space="preserve"> </w:t>
      </w:r>
      <w:r>
        <w:t xml:space="preserve">no persistent volumes are used, so metrics reset whenever pods restart.</w:t>
      </w:r>
      <w:r>
        <w:t xml:space="preserve"> </w:t>
      </w:r>
      <w:r>
        <w:t xml:space="preserve">For a graded demo this is an acceptable, and arguably correct, trade-off —</w:t>
      </w:r>
      <w:r>
        <w:t xml:space="preserve"> </w:t>
      </w:r>
      <w:r>
        <w:t xml:space="preserve">see the conclusion.</w:t>
      </w:r>
    </w:p>
    <w:bookmarkEnd w:id="56"/>
    <w:bookmarkStart w:id="57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Taken together, the pipeline demonstrates the full lifecycle asked for by</w:t>
      </w:r>
      <w:r>
        <w:t xml:space="preserve"> </w:t>
      </w:r>
      <w:r>
        <w:t xml:space="preserve">the assignment: a reproducibly fetched and cleaned dataset; feature</w:t>
      </w:r>
      <w:r>
        <w:t xml:space="preserve"> </w:t>
      </w:r>
      <w:r>
        <w:t xml:space="preserve">engineering embedded in a pipeline rather than pre-computed; a tracked,</w:t>
      </w:r>
      <w:r>
        <w:t xml:space="preserve"> </w:t>
      </w:r>
      <w:r>
        <w:t xml:space="preserve">multi-model comparison that reports honest, mixed results rather than a</w:t>
      </w:r>
      <w:r>
        <w:t xml:space="preserve"> </w:t>
      </w:r>
      <w:r>
        <w:t xml:space="preserve">single flattering number; deterministic packaging that lets a fresh clone</w:t>
      </w:r>
      <w:r>
        <w:t xml:space="preserve"> </w:t>
      </w:r>
      <w:r>
        <w:t xml:space="preserve">serve without retraining; a CI/CD gate proven with both a green and a red</w:t>
      </w:r>
      <w:r>
        <w:t xml:space="preserve"> </w:t>
      </w:r>
      <w:r>
        <w:t xml:space="preserve">run; a slim, non-root container; a Kubernetes deployment whose target</w:t>
      </w:r>
      <w:r>
        <w:t xml:space="preserve"> </w:t>
      </w:r>
      <w:r>
        <w:t xml:space="preserve">platform was chosen for a documented account constraint rather than</w:t>
      </w:r>
      <w:r>
        <w:t xml:space="preserve"> </w:t>
      </w:r>
      <w:r>
        <w:t xml:space="preserve">convenience; and a monitoring stack wired into real Prometheus/Grafana</w:t>
      </w:r>
      <w:r>
        <w:t xml:space="preserve"> </w:t>
      </w:r>
      <w:r>
        <w:t xml:space="preserve">rather than a stub JSON endpoint.</w:t>
      </w:r>
    </w:p>
    <w:p>
      <w:pPr>
        <w:pStyle w:val="BodyText"/>
      </w:pPr>
      <w:r>
        <w:t xml:space="preserve">The ephemeral choices — no EKS cluster left running, no persistent volumes</w:t>
      </w:r>
      <w:r>
        <w:t xml:space="preserve"> </w:t>
      </w:r>
      <w:r>
        <w:t xml:space="preserve">under Prometheus/Grafana, metrics that reset with the pods — are not</w:t>
      </w:r>
      <w:r>
        <w:t xml:space="preserve"> </w:t>
      </w:r>
      <w:r>
        <w:t xml:space="preserve">shortcuts but cost-conscious practice: nothing here needs to survive a</w:t>
      </w:r>
      <w:r>
        <w:t xml:space="preserve"> </w:t>
      </w:r>
      <w:r>
        <w:t xml:space="preserve">demo, and provisioning everything declaratively (namespace, Deployment,</w:t>
      </w:r>
      <w:r>
        <w:t xml:space="preserve"> </w:t>
      </w:r>
      <w:r>
        <w:t xml:space="preserve">Service, and the monitoring ConfigMaps) means the entire stack can be torn</w:t>
      </w:r>
      <w:r>
        <w:t xml:space="preserve"> </w:t>
      </w:r>
      <w:r>
        <w:t xml:space="preserve">down and rebuilt with a couple of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/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calls</w:t>
      </w:r>
      <w:r>
        <w:t xml:space="preserve"> </w:t>
      </w:r>
      <w:r>
        <w:t xml:space="preserve">whenever it is needed again, which is the property that actually matters</w:t>
      </w:r>
      <w:r>
        <w:t xml:space="preserve"> </w:t>
      </w:r>
      <w:r>
        <w:t xml:space="preserve">for a project graded once and not operated continuously.</w:t>
      </w:r>
    </w:p>
    <w:p>
      <w:pPr>
        <w:pStyle w:val="BodyText"/>
      </w:pPr>
      <w:r>
        <w:t xml:space="preserve">If this pipeline were to continue past the assignment, the clearest next</w:t>
      </w:r>
      <w:r>
        <w:t xml:space="preserve"> </w:t>
      </w:r>
      <w:r>
        <w:t xml:space="preserve">steps follow directly from the trade-offs already documented: promoting</w:t>
      </w:r>
      <w:r>
        <w:t xml:space="preserve"> </w:t>
      </w:r>
      <w:r>
        <w:t xml:space="preserve">the tracked model into MLflow’s Model Registry once more than one model</w:t>
      </w:r>
      <w:r>
        <w:t xml:space="preserve"> </w:t>
      </w:r>
      <w:r>
        <w:t xml:space="preserve">needs to be managed over time, moving the monitoring stack onto persistent</w:t>
      </w:r>
      <w:r>
        <w:t xml:space="preserve"> </w:t>
      </w:r>
      <w:r>
        <w:t xml:space="preserve">storage and a per-pod scrape topology once metrics need to survive a</w:t>
      </w:r>
      <w:r>
        <w:t xml:space="preserve"> </w:t>
      </w:r>
      <w:r>
        <w:t xml:space="preserve">restart, and revisiting EKS once the account constraints that forced the</w:t>
      </w:r>
      <w:r>
        <w:t xml:space="preserve"> </w:t>
      </w:r>
      <w:r>
        <w:t xml:space="preserve">local-Kubernetes pivot are lifted. None of those are required to satisfy</w:t>
      </w:r>
      <w:r>
        <w:t xml:space="preserve"> </w:t>
      </w:r>
      <w:r>
        <w:t xml:space="preserve">the current rubric, but each is a natural, low-friction extension of</w:t>
      </w:r>
      <w:r>
        <w:t xml:space="preserve"> </w:t>
      </w:r>
      <w:r>
        <w:t xml:space="preserve">decisions already made rather than a rearchitecture.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53" Target="media/rId5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— MLOps Assignment 01</dc:title>
  <dc:creator>Adithya (2024AC05785)</dc:creator>
  <cp:keywords/>
  <dcterms:created xsi:type="dcterms:W3CDTF">2026-07-11T13:23:45Z</dcterms:created>
  <dcterms:modified xsi:type="dcterms:W3CDTF">2026-07-11T13:23:45Z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