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AxomRank Brand Identity Guide</w:t>
      </w:r>
    </w:p>
    <w:p>
      <w:pPr>
        <w:pStyle w:val="Subtitle"/>
      </w:pPr>
      <w:r>
        <w:t>Positioning voice visual identity and brand applications</w:t>
      </w:r>
    </w:p>
    <w:p>
      <w:pPr>
        <w:jc w:val="center"/>
      </w:pPr>
      <w:r>
        <w:drawing>
          <wp:inline xmlns:a="http://schemas.openxmlformats.org/drawingml/2006/main" xmlns:pic="http://schemas.openxmlformats.org/drawingml/2006/picture">
            <wp:extent cx="4343400" cy="2895600"/>
            <wp:docPr id="1" name="Picture 1" descr="Deep maroon Rang Ghar illustration supplied as the AxomRank brand mark"/>
            <wp:cNvGraphicFramePr>
              <a:graphicFrameLocks noChangeAspect="1"/>
            </wp:cNvGraphicFramePr>
            <a:graphic>
              <a:graphicData uri="http://schemas.openxmlformats.org/drawingml/2006/picture">
                <pic:pic>
                  <pic:nvPicPr>
                    <pic:cNvPr id="0" name="02-logo-2.jpg"/>
                    <pic:cNvPicPr/>
                  </pic:nvPicPr>
                  <pic:blipFill>
                    <a:blip r:embed="rId10"/>
                    <a:stretch>
                      <a:fillRect/>
                    </a:stretch>
                  </pic:blipFill>
                  <pic:spPr>
                    <a:xfrm>
                      <a:off x="0" y="0"/>
                      <a:ext cx="4343400" cy="2895600"/>
                    </a:xfrm>
                    <a:prstGeom prst="rect"/>
                  </pic:spPr>
                </pic:pic>
              </a:graphicData>
            </a:graphic>
          </wp:inline>
        </w:drawing>
      </w:r>
    </w:p>
    <w:p>
      <w:pPr>
        <w:spacing w:after="300"/>
        <w:jc w:val="center"/>
      </w:pPr>
      <w:r>
        <w:rPr>
          <w:b/>
        </w:rPr>
        <w:t>PREPARE SMARTER. RANK HIGHER.</w:t>
      </w:r>
    </w:p>
    <w:p>
      <w:r>
        <w:rPr>
          <w:b w:val="0"/>
        </w:rPr>
        <w:t>AxomRank helps Assam's government-exam aspirants turn preparation into a regular practice habit. Its identity should give a student a clear place to begin, a useful way to review mistakes, and a reason to return for the next session.</w:t>
      </w:r>
    </w:p>
    <w:p>
      <w:r>
        <w:rPr>
          <w:b w:val="0"/>
        </w:rPr>
        <w:t>This guide defines how that promise appears in the brand's words, visuals, website, learning tools, and social content. Use it when writing a page, designing a carousel, presenting a product, or speaking to a student. Every touchpoint should feel like the same AxomRank.</w:t>
      </w:r>
    </w:p>
    <w:p>
      <w:pPr>
        <w:pStyle w:val="Heading2"/>
      </w:pPr>
      <w:r>
        <w:t>The central idea</w:t>
      </w:r>
    </w:p>
    <w:p>
      <w:r>
        <w:rPr>
          <w:b w:val="0"/>
        </w:rPr>
        <w:t>Assam's exam practice companion. Familiar in language and identity, clear in explanation, and focused on what the student can do next.</w:t>
      </w:r>
    </w:p>
    <w:p>
      <w:r>
        <w:rPr>
          <w:b w:val="0"/>
          <w:color w:val="666666"/>
          <w:sz w:val="18"/>
        </w:rPr>
        <w:t>Brand identity edition 1  |  October 2026</w:t>
      </w:r>
    </w:p>
    <w:p>
      <w:r>
        <w:br w:type="page"/>
      </w:r>
    </w:p>
    <w:p>
      <w:pPr>
        <w:pStyle w:val="Heading1"/>
      </w:pPr>
      <w:r>
        <w:t>Positioning and audience</w:t>
      </w:r>
    </w:p>
    <w:p>
      <w:pPr>
        <w:pStyle w:val="Heading2"/>
      </w:pPr>
      <w:r>
        <w:t>Our positioning</w:t>
      </w:r>
    </w:p>
    <w:p>
      <w:r>
        <w:rPr>
          <w:b w:val="0"/>
        </w:rPr>
        <w:t>For students preparing for ADRE and other Assam government examinations, AxomRank is an exam-practice platform that brings questions, explanations, and preparation tools into a familiar Assamese and English experience. We help students move from uncertainty about where to start toward a specific practice task and a clearer understanding of their mistakes.</w:t>
      </w:r>
    </w:p>
    <w:p>
      <w:r>
        <w:rPr>
          <w:b w:val="0"/>
        </w:rPr>
        <w:t>Use “Assam's exam practice companion” as the public category description. Use “Assam exam intelligence” when showing how a score, mistake pattern, or tool helps a student decide what to practise. The intelligence must be visible in the result or explanation.</w:t>
      </w:r>
    </w:p>
    <w:p>
      <w:pPr>
        <w:pStyle w:val="Heading2"/>
      </w:pPr>
      <w:r>
        <w:t>The student situations we serve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264"/>
      </w:tblGrid>
      <w:tr>
        <w:trPr>
          <w:tblHeader/>
        </w:trPr>
        <w:tc>
          <w:tcPr>
            <w:tcW w:type="dxa" w:w="3672"/>
            <w:vAlign w:val="center"/>
            <w:shd w:fill="292929"/>
            <w:tcMar>
              <w:top w:w="90" w:type="dxa"/>
              <w:bottom w:w="90" w:type="dxa"/>
              <w:left w:w="110" w:type="dxa"/>
              <w:right w:w="110" w:type="dxa"/>
            </w:tcMar>
          </w:tcPr>
          <w:p>
            <w:pPr>
              <w:spacing w:after="0" w:line="247" w:lineRule="auto"/>
            </w:pPr>
            <w:r>
              <w:rPr>
                <w:b/>
                <w:color w:val="FFFFFF"/>
                <w:sz w:val="20"/>
              </w:rPr>
              <w:t>Student situation</w:t>
            </w:r>
          </w:p>
        </w:tc>
        <w:tc>
          <w:tcPr>
            <w:tcW w:type="dxa" w:w="6264"/>
            <w:vAlign w:val="center"/>
            <w:shd w:fill="292929"/>
            <w:tcMar>
              <w:top w:w="90" w:type="dxa"/>
              <w:bottom w:w="90" w:type="dxa"/>
              <w:left w:w="110" w:type="dxa"/>
              <w:right w:w="110" w:type="dxa"/>
            </w:tcMar>
          </w:tcPr>
          <w:p>
            <w:pPr>
              <w:spacing w:after="0" w:line="247" w:lineRule="auto"/>
            </w:pPr>
            <w:r>
              <w:rPr>
                <w:b/>
                <w:color w:val="FFFFFF"/>
                <w:sz w:val="20"/>
              </w:rPr>
              <w:t>What AxomRank should provide</w:t>
            </w:r>
          </w:p>
        </w:tc>
      </w:tr>
      <w:tr>
        <w:trPr>
          <w:cantSplit/>
        </w:trPr>
        <w:tc>
          <w:tcPr>
            <w:tcW w:type="dxa" w:w="3672"/>
            <w:vAlign w:val="center"/>
            <w:shd w:fill="FFFFFF"/>
            <w:tcMar>
              <w:top w:w="90" w:type="dxa"/>
              <w:bottom w:w="90" w:type="dxa"/>
              <w:left w:w="110" w:type="dxa"/>
              <w:right w:w="110" w:type="dxa"/>
            </w:tcMar>
          </w:tcPr>
          <w:p>
            <w:pPr>
              <w:spacing w:after="0" w:line="247" w:lineRule="auto"/>
            </w:pPr>
            <w:r>
              <w:rPr>
                <w:b w:val="0"/>
                <w:color w:val="000000"/>
                <w:sz w:val="20"/>
              </w:rPr>
              <w:t>Beginning preparation</w:t>
            </w:r>
          </w:p>
        </w:tc>
        <w:tc>
          <w:tcPr>
            <w:tcW w:type="dxa" w:w="6264"/>
            <w:vAlign w:val="center"/>
            <w:shd w:fill="FFFFFF"/>
            <w:tcMar>
              <w:top w:w="90" w:type="dxa"/>
              <w:bottom w:w="90" w:type="dxa"/>
              <w:left w:w="110" w:type="dxa"/>
              <w:right w:w="110" w:type="dxa"/>
            </w:tcMar>
          </w:tcPr>
          <w:p>
            <w:pPr>
              <w:spacing w:after="0" w:line="247" w:lineRule="auto"/>
            </w:pPr>
            <w:r>
              <w:rPr>
                <w:b w:val="0"/>
                <w:color w:val="000000"/>
                <w:sz w:val="20"/>
              </w:rPr>
              <w:t>An obvious first test and a simple explanation of where to start.</w:t>
            </w:r>
          </w:p>
        </w:tc>
      </w:tr>
      <w:tr>
        <w:trPr>
          <w:cantSplit/>
        </w:trPr>
        <w:tc>
          <w:tcPr>
            <w:tcW w:type="dxa" w:w="3672"/>
            <w:vAlign w:val="center"/>
            <w:shd w:fill="F4F4F4"/>
            <w:tcMar>
              <w:top w:w="90" w:type="dxa"/>
              <w:bottom w:w="90" w:type="dxa"/>
              <w:left w:w="110" w:type="dxa"/>
              <w:right w:w="110" w:type="dxa"/>
            </w:tcMar>
          </w:tcPr>
          <w:p>
            <w:pPr>
              <w:spacing w:after="0" w:line="247" w:lineRule="auto"/>
            </w:pPr>
            <w:r>
              <w:rPr>
                <w:b w:val="0"/>
                <w:color w:val="000000"/>
                <w:sz w:val="20"/>
              </w:rPr>
              <w:t>Studying around work or college</w:t>
            </w:r>
          </w:p>
        </w:tc>
        <w:tc>
          <w:tcPr>
            <w:tcW w:type="dxa" w:w="6264"/>
            <w:vAlign w:val="center"/>
            <w:shd w:fill="F4F4F4"/>
            <w:tcMar>
              <w:top w:w="90" w:type="dxa"/>
              <w:bottom w:w="90" w:type="dxa"/>
              <w:left w:w="110" w:type="dxa"/>
              <w:right w:w="110" w:type="dxa"/>
            </w:tcMar>
          </w:tcPr>
          <w:p>
            <w:pPr>
              <w:spacing w:after="0" w:line="247" w:lineRule="auto"/>
            </w:pPr>
            <w:r>
              <w:rPr>
                <w:b w:val="0"/>
                <w:color w:val="000000"/>
                <w:sz w:val="20"/>
              </w:rPr>
              <w:t>Short practice sets and a realistic next session.</w:t>
            </w:r>
          </w:p>
        </w:tc>
      </w:tr>
      <w:tr>
        <w:trPr>
          <w:cantSplit/>
        </w:trPr>
        <w:tc>
          <w:tcPr>
            <w:tcW w:type="dxa" w:w="3672"/>
            <w:vAlign w:val="center"/>
            <w:shd w:fill="FFFFFF"/>
            <w:tcMar>
              <w:top w:w="90" w:type="dxa"/>
              <w:bottom w:w="90" w:type="dxa"/>
              <w:left w:w="110" w:type="dxa"/>
              <w:right w:w="110" w:type="dxa"/>
            </w:tcMar>
          </w:tcPr>
          <w:p>
            <w:pPr>
              <w:spacing w:after="0" w:line="247" w:lineRule="auto"/>
            </w:pPr>
            <w:r>
              <w:rPr>
                <w:b w:val="0"/>
                <w:color w:val="000000"/>
                <w:sz w:val="20"/>
              </w:rPr>
              <w:t>More comfortable in Assamese</w:t>
            </w:r>
          </w:p>
        </w:tc>
        <w:tc>
          <w:tcPr>
            <w:tcW w:type="dxa" w:w="6264"/>
            <w:vAlign w:val="center"/>
            <w:shd w:fill="FFFFFF"/>
            <w:tcMar>
              <w:top w:w="90" w:type="dxa"/>
              <w:bottom w:w="90" w:type="dxa"/>
              <w:left w:w="110" w:type="dxa"/>
              <w:right w:w="110" w:type="dxa"/>
            </w:tcMar>
          </w:tcPr>
          <w:p>
            <w:pPr>
              <w:spacing w:after="0" w:line="247" w:lineRule="auto"/>
            </w:pPr>
            <w:r>
              <w:rPr>
                <w:b w:val="0"/>
                <w:color w:val="000000"/>
                <w:sz w:val="20"/>
              </w:rPr>
              <w:t>Readable local-language questions and explanations with equal depth.</w:t>
            </w:r>
          </w:p>
        </w:tc>
      </w:tr>
      <w:tr>
        <w:trPr>
          <w:cantSplit/>
        </w:trPr>
        <w:tc>
          <w:tcPr>
            <w:tcW w:type="dxa" w:w="3672"/>
            <w:vAlign w:val="center"/>
            <w:shd w:fill="F4F4F4"/>
            <w:tcMar>
              <w:top w:w="90" w:type="dxa"/>
              <w:bottom w:w="90" w:type="dxa"/>
              <w:left w:w="110" w:type="dxa"/>
              <w:right w:w="110" w:type="dxa"/>
            </w:tcMar>
          </w:tcPr>
          <w:p>
            <w:pPr>
              <w:spacing w:after="0" w:line="247" w:lineRule="auto"/>
            </w:pPr>
            <w:r>
              <w:rPr>
                <w:b w:val="0"/>
                <w:color w:val="000000"/>
                <w:sz w:val="20"/>
              </w:rPr>
              <w:t>Practising regularly but feeling stuck</w:t>
            </w:r>
          </w:p>
        </w:tc>
        <w:tc>
          <w:tcPr>
            <w:tcW w:type="dxa" w:w="6264"/>
            <w:vAlign w:val="center"/>
            <w:shd w:fill="F4F4F4"/>
            <w:tcMar>
              <w:top w:w="90" w:type="dxa"/>
              <w:bottom w:w="90" w:type="dxa"/>
              <w:left w:w="110" w:type="dxa"/>
              <w:right w:w="110" w:type="dxa"/>
            </w:tcMar>
          </w:tcPr>
          <w:p>
            <w:pPr>
              <w:spacing w:after="0" w:line="247" w:lineRule="auto"/>
            </w:pPr>
            <w:r>
              <w:rPr>
                <w:b w:val="0"/>
                <w:color w:val="000000"/>
                <w:sz w:val="20"/>
              </w:rPr>
              <w:t>A way to review wrong answers and choose a weak topic.</w:t>
            </w:r>
          </w:p>
        </w:tc>
      </w:tr>
    </w:tbl>
    <w:p>
      <w:pPr>
        <w:spacing w:after="0"/>
      </w:pPr>
    </w:p>
    <w:p>
      <w:pPr>
        <w:pStyle w:val="Heading2"/>
      </w:pPr>
      <w:r>
        <w:t>The promise we can keep</w:t>
      </w:r>
    </w:p>
    <w:p>
      <w:r>
        <w:rPr>
          <w:b w:val="0"/>
        </w:rPr>
        <w:t>Make each practice session easier to start and more useful to review. We deliver this through clear questions, understandable explanations, dependable information, and relevant next steps. The existing tagline expresses the student's ambition; it must never become a guarantee of selection or rank.</w:t>
      </w:r>
    </w:p>
    <w:p>
      <w:pPr>
        <w:pStyle w:val="Heading2"/>
      </w:pPr>
      <w:r>
        <w:t>What makes the identity distinctive</w:t>
      </w:r>
    </w:p>
    <w:p>
      <w:r>
        <w:rPr>
          <w:b w:val="0"/>
        </w:rPr>
        <w:t>Our Assamese identity appears in language, the Rang Ghar mark, and accurate local knowledge. Our usefulness appears in the task a student can complete. Our credibility appears in sourced exam information, honest product demonstrations, and clear corrections when something is wrong.</w:t>
      </w:r>
    </w:p>
    <w:p>
      <w:r>
        <w:rPr>
          <w:b w:val="0"/>
        </w:rPr>
        <w:t>The intended feeling is steady confidence: “I know what to practise next.” Each design and message should help the student reach that feeling through an action they can take.</w:t>
      </w:r>
    </w:p>
    <w:p>
      <w:r>
        <w:br w:type="page"/>
      </w:r>
    </w:p>
    <w:p>
      <w:pPr>
        <w:pStyle w:val="Heading1"/>
      </w:pPr>
      <w:r>
        <w:t>Brand story and principles</w:t>
      </w:r>
    </w:p>
    <w:p>
      <w:pPr>
        <w:pStyle w:val="Heading2"/>
      </w:pPr>
      <w:r>
        <w:t>Our brand story</w:t>
      </w:r>
    </w:p>
    <w:p>
      <w:r>
        <w:rPr>
          <w:b w:val="0"/>
        </w:rPr>
        <w:t>A student may begin the day with a syllabus and end it with another saved post. Between those moments are classes, work, family responsibilities, and the question of what to study first. Preparation becomes easier to continue when the next task is clear.</w:t>
      </w:r>
    </w:p>
    <w:p>
      <w:r>
        <w:rPr>
          <w:b w:val="0"/>
        </w:rPr>
        <w:t>AxomRank gives that task a familiar home. A question leads to an explanation. An explanation leads to practice. A test leads to a review and a topic worth returning to. The Rang Ghar mark carries our Assamese identity, while the learning experience keeps the student's attention on the work ahead.</w:t>
      </w:r>
    </w:p>
    <w:p>
      <w:r>
        <w:rPr>
          <w:b w:val="0"/>
        </w:rPr>
        <w:t>We want a student to recognise AxomRank by the help it gives: a confusing option explained, a local fact remembered correctly, or a short session completed on a busy day. That usefulness is the story we should tell repeatedly.</w:t>
      </w:r>
    </w:p>
    <w:p>
      <w:pPr>
        <w:pStyle w:val="Heading2"/>
      </w:pPr>
      <w:r>
        <w:t>Our purpose</w:t>
      </w:r>
    </w:p>
    <w:p>
      <w:r>
        <w:rPr>
          <w:b w:val="0"/>
        </w:rPr>
        <w:t>Help Assam's aspirants build consistent practice and understand their preparation more clearly.</w:t>
      </w:r>
    </w:p>
    <w:p>
      <w:pPr>
        <w:pStyle w:val="Heading2"/>
      </w:pPr>
      <w:r>
        <w:t>Accuracy comes first</w:t>
      </w:r>
    </w:p>
    <w:p>
      <w:r>
        <w:rPr>
          <w:b w:val="0"/>
        </w:rPr>
        <w:t>Keep the exam year, paper, question source, and answer key together. Label newly written questions as practice. Publish dates and eligibility rules from the relevant official notice, and make corrections easy to find.</w:t>
      </w:r>
    </w:p>
    <w:p>
      <w:pPr>
        <w:pStyle w:val="Heading2"/>
      </w:pPr>
      <w:r>
        <w:t>Accessibility requires equal care</w:t>
      </w:r>
    </w:p>
    <w:p>
      <w:r>
        <w:rPr>
          <w:b w:val="0"/>
        </w:rPr>
        <w:t>Give Assamese explanations the same attention as English explanations. Use readable typography and direct instructions. A student should not need to understand our domains, hosting arrangements, or internal product structure to start learning.</w:t>
      </w:r>
    </w:p>
    <w:p>
      <w:pPr>
        <w:pStyle w:val="Heading2"/>
      </w:pPr>
      <w:r>
        <w:t>Progress must be visible</w:t>
      </w:r>
    </w:p>
    <w:p>
      <w:r>
        <w:rPr>
          <w:b w:val="0"/>
        </w:rPr>
        <w:t>Show completed practice, reviewed mistakes, and genuine results where available. Explain what a score measures. Compare like-for-like tests, and use the result to suggest a practical next study step.</w:t>
      </w:r>
    </w:p>
    <w:p>
      <w:pPr>
        <w:pStyle w:val="Heading2"/>
      </w:pPr>
      <w:r>
        <w:t>Respect the student</w:t>
      </w:r>
    </w:p>
    <w:p>
      <w:r>
        <w:rPr>
          <w:b w:val="0"/>
        </w:rPr>
        <w:t>Speak without shaming a low score, mocking a language preference, or implying that one missed session determines a student's future. Recognise effort through useful feedback and specific encouragement.</w:t>
      </w:r>
    </w:p>
    <w:p>
      <w:r>
        <w:br w:type="page"/>
      </w:r>
    </w:p>
    <w:p>
      <w:pPr>
        <w:pStyle w:val="Heading1"/>
      </w:pPr>
      <w:r>
        <w:t>Voice language and messaging</w:t>
      </w:r>
    </w:p>
    <w:p>
      <w:r>
        <w:rPr>
          <w:b w:val="0"/>
        </w:rPr>
        <w:t>AxomRank sounds like a capable tutor who knows the local context and respects the student's time. We use short, concrete sentences, explain the reason behind an answer, and finish with an achievable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464"/>
        <w:gridCol w:w="3888"/>
      </w:tblGrid>
      <w:tr>
        <w:trPr>
          <w:tblHeader/>
        </w:trPr>
        <w:tc>
          <w:tcPr>
            <w:tcW w:type="dxa" w:w="1584"/>
            <w:vAlign w:val="center"/>
            <w:shd w:fill="292929"/>
            <w:tcMar>
              <w:top w:w="90" w:type="dxa"/>
              <w:bottom w:w="90" w:type="dxa"/>
              <w:left w:w="110" w:type="dxa"/>
              <w:right w:w="110" w:type="dxa"/>
            </w:tcMar>
          </w:tcPr>
          <w:p>
            <w:pPr>
              <w:spacing w:after="0" w:line="247" w:lineRule="auto"/>
            </w:pPr>
            <w:r>
              <w:rPr>
                <w:b/>
                <w:color w:val="FFFFFF"/>
                <w:sz w:val="20"/>
              </w:rPr>
              <w:t>Situation</w:t>
            </w:r>
          </w:p>
        </w:tc>
        <w:tc>
          <w:tcPr>
            <w:tcW w:type="dxa" w:w="4464"/>
            <w:vAlign w:val="center"/>
            <w:shd w:fill="292929"/>
            <w:tcMar>
              <w:top w:w="90" w:type="dxa"/>
              <w:bottom w:w="90" w:type="dxa"/>
              <w:left w:w="110" w:type="dxa"/>
              <w:right w:w="110" w:type="dxa"/>
            </w:tcMar>
          </w:tcPr>
          <w:p>
            <w:pPr>
              <w:spacing w:after="0" w:line="247" w:lineRule="auto"/>
            </w:pPr>
            <w:r>
              <w:rPr>
                <w:b/>
                <w:color w:val="FFFFFF"/>
                <w:sz w:val="20"/>
              </w:rPr>
              <w:t>Preferred expression</w:t>
            </w:r>
          </w:p>
        </w:tc>
        <w:tc>
          <w:tcPr>
            <w:tcW w:type="dxa" w:w="3888"/>
            <w:vAlign w:val="center"/>
            <w:shd w:fill="292929"/>
            <w:tcMar>
              <w:top w:w="90" w:type="dxa"/>
              <w:bottom w:w="90" w:type="dxa"/>
              <w:left w:w="110" w:type="dxa"/>
              <w:right w:w="110" w:type="dxa"/>
            </w:tcMar>
          </w:tcPr>
          <w:p>
            <w:pPr>
              <w:spacing w:after="0" w:line="247" w:lineRule="auto"/>
            </w:pPr>
            <w:r>
              <w:rPr>
                <w:b/>
                <w:color w:val="FFFFFF"/>
                <w:sz w:val="20"/>
              </w:rPr>
              <w:t>Avoid</w:t>
            </w:r>
          </w:p>
        </w:tc>
      </w:tr>
      <w:tr>
        <w:trPr>
          <w:cantSplit/>
        </w:trPr>
        <w:tc>
          <w:tcPr>
            <w:tcW w:type="dxa" w:w="1584"/>
            <w:vAlign w:val="center"/>
            <w:shd w:fill="FFFFFF"/>
            <w:tcMar>
              <w:top w:w="90" w:type="dxa"/>
              <w:bottom w:w="90" w:type="dxa"/>
              <w:left w:w="110" w:type="dxa"/>
              <w:right w:w="110" w:type="dxa"/>
            </w:tcMar>
          </w:tcPr>
          <w:p>
            <w:pPr>
              <w:spacing w:after="0" w:line="247" w:lineRule="auto"/>
            </w:pPr>
            <w:r>
              <w:rPr>
                <w:b w:val="0"/>
                <w:color w:val="000000"/>
                <w:sz w:val="20"/>
              </w:rPr>
              <w:t>Teaching</w:t>
            </w:r>
          </w:p>
        </w:tc>
        <w:tc>
          <w:tcPr>
            <w:tcW w:type="dxa" w:w="4464"/>
            <w:vAlign w:val="center"/>
            <w:shd w:fill="FFFFFF"/>
            <w:tcMar>
              <w:top w:w="90" w:type="dxa"/>
              <w:bottom w:w="90" w:type="dxa"/>
              <w:left w:w="110" w:type="dxa"/>
              <w:right w:w="110" w:type="dxa"/>
            </w:tcMar>
          </w:tcPr>
          <w:p>
            <w:pPr>
              <w:spacing w:after="0" w:line="247" w:lineRule="auto"/>
            </w:pPr>
            <w:r>
              <w:rPr>
                <w:b w:val="0"/>
                <w:color w:val="000000"/>
                <w:sz w:val="20"/>
              </w:rPr>
              <w:t>The second percentage uses a new base. Start at 100.</w:t>
            </w:r>
          </w:p>
        </w:tc>
        <w:tc>
          <w:tcPr>
            <w:tcW w:type="dxa" w:w="3888"/>
            <w:vAlign w:val="center"/>
            <w:shd w:fill="FFFFFF"/>
            <w:tcMar>
              <w:top w:w="90" w:type="dxa"/>
              <w:bottom w:w="90" w:type="dxa"/>
              <w:left w:w="110" w:type="dxa"/>
              <w:right w:w="110" w:type="dxa"/>
            </w:tcMar>
          </w:tcPr>
          <w:p>
            <w:pPr>
              <w:spacing w:after="0" w:line="247" w:lineRule="auto"/>
            </w:pPr>
            <w:r>
              <w:rPr>
                <w:b w:val="0"/>
                <w:color w:val="000000"/>
                <w:sz w:val="20"/>
              </w:rPr>
              <w:t>Only geniuses can solve this.</w:t>
            </w:r>
          </w:p>
        </w:tc>
      </w:tr>
      <w:tr>
        <w:trPr>
          <w:cantSplit/>
        </w:trPr>
        <w:tc>
          <w:tcPr>
            <w:tcW w:type="dxa" w:w="1584"/>
            <w:vAlign w:val="center"/>
            <w:shd w:fill="F4F4F4"/>
            <w:tcMar>
              <w:top w:w="90" w:type="dxa"/>
              <w:bottom w:w="90" w:type="dxa"/>
              <w:left w:w="110" w:type="dxa"/>
              <w:right w:w="110" w:type="dxa"/>
            </w:tcMar>
          </w:tcPr>
          <w:p>
            <w:pPr>
              <w:spacing w:after="0" w:line="247" w:lineRule="auto"/>
            </w:pPr>
            <w:r>
              <w:rPr>
                <w:b w:val="0"/>
                <w:color w:val="000000"/>
                <w:sz w:val="20"/>
              </w:rPr>
              <w:t>Wrong answer</w:t>
            </w:r>
          </w:p>
        </w:tc>
        <w:tc>
          <w:tcPr>
            <w:tcW w:type="dxa" w:w="4464"/>
            <w:vAlign w:val="center"/>
            <w:shd w:fill="F4F4F4"/>
            <w:tcMar>
              <w:top w:w="90" w:type="dxa"/>
              <w:bottom w:w="90" w:type="dxa"/>
              <w:left w:w="110" w:type="dxa"/>
              <w:right w:w="110" w:type="dxa"/>
            </w:tcMar>
          </w:tcPr>
          <w:p>
            <w:pPr>
              <w:spacing w:after="0" w:line="247" w:lineRule="auto"/>
            </w:pPr>
            <w:r>
              <w:rPr>
                <w:b w:val="0"/>
                <w:color w:val="000000"/>
                <w:sz w:val="20"/>
              </w:rPr>
              <w:t>Check the denominator. Profit percentage uses cost price.</w:t>
            </w:r>
          </w:p>
        </w:tc>
        <w:tc>
          <w:tcPr>
            <w:tcW w:type="dxa" w:w="3888"/>
            <w:vAlign w:val="center"/>
            <w:shd w:fill="F4F4F4"/>
            <w:tcMar>
              <w:top w:w="90" w:type="dxa"/>
              <w:bottom w:w="90" w:type="dxa"/>
              <w:left w:w="110" w:type="dxa"/>
              <w:right w:w="110" w:type="dxa"/>
            </w:tcMar>
          </w:tcPr>
          <w:p>
            <w:pPr>
              <w:spacing w:after="0" w:line="247" w:lineRule="auto"/>
            </w:pPr>
            <w:r>
              <w:rPr>
                <w:b w:val="0"/>
                <w:color w:val="000000"/>
                <w:sz w:val="20"/>
              </w:rPr>
              <w:t>This was easy. How did you miss it?</w:t>
            </w:r>
          </w:p>
        </w:tc>
      </w:tr>
      <w:tr>
        <w:trPr>
          <w:cantSplit/>
        </w:trPr>
        <w:tc>
          <w:tcPr>
            <w:tcW w:type="dxa" w:w="1584"/>
            <w:vAlign w:val="center"/>
            <w:shd w:fill="FFFFFF"/>
            <w:tcMar>
              <w:top w:w="90" w:type="dxa"/>
              <w:bottom w:w="90" w:type="dxa"/>
              <w:left w:w="110" w:type="dxa"/>
              <w:right w:w="110" w:type="dxa"/>
            </w:tcMar>
          </w:tcPr>
          <w:p>
            <w:pPr>
              <w:spacing w:after="0" w:line="247" w:lineRule="auto"/>
            </w:pPr>
            <w:r>
              <w:rPr>
                <w:b w:val="0"/>
                <w:color w:val="000000"/>
                <w:sz w:val="20"/>
              </w:rPr>
              <w:t>Invitation</w:t>
            </w:r>
          </w:p>
        </w:tc>
        <w:tc>
          <w:tcPr>
            <w:tcW w:type="dxa" w:w="4464"/>
            <w:vAlign w:val="center"/>
            <w:shd w:fill="FFFFFF"/>
            <w:tcMar>
              <w:top w:w="90" w:type="dxa"/>
              <w:bottom w:w="90" w:type="dxa"/>
              <w:left w:w="110" w:type="dxa"/>
              <w:right w:w="110" w:type="dxa"/>
            </w:tcMar>
          </w:tcPr>
          <w:p>
            <w:pPr>
              <w:spacing w:after="0" w:line="247" w:lineRule="auto"/>
            </w:pPr>
            <w:r>
              <w:rPr>
                <w:b w:val="0"/>
                <w:color w:val="000000"/>
                <w:sz w:val="20"/>
              </w:rPr>
              <w:t>Try three questions before checking the answers.</w:t>
            </w:r>
          </w:p>
        </w:tc>
        <w:tc>
          <w:tcPr>
            <w:tcW w:type="dxa" w:w="3888"/>
            <w:vAlign w:val="center"/>
            <w:shd w:fill="FFFFFF"/>
            <w:tcMar>
              <w:top w:w="90" w:type="dxa"/>
              <w:bottom w:w="90" w:type="dxa"/>
              <w:left w:w="110" w:type="dxa"/>
              <w:right w:w="110" w:type="dxa"/>
            </w:tcMar>
          </w:tcPr>
          <w:p>
            <w:pPr>
              <w:spacing w:after="0" w:line="247" w:lineRule="auto"/>
            </w:pPr>
            <w:r>
              <w:rPr>
                <w:b w:val="0"/>
                <w:color w:val="000000"/>
                <w:sz w:val="20"/>
              </w:rPr>
              <w:t>Change your life instantly.</w:t>
            </w:r>
          </w:p>
        </w:tc>
      </w:tr>
      <w:tr>
        <w:trPr>
          <w:cantSplit/>
        </w:trPr>
        <w:tc>
          <w:tcPr>
            <w:tcW w:type="dxa" w:w="1584"/>
            <w:vAlign w:val="center"/>
            <w:shd w:fill="F4F4F4"/>
            <w:tcMar>
              <w:top w:w="90" w:type="dxa"/>
              <w:bottom w:w="90" w:type="dxa"/>
              <w:left w:w="110" w:type="dxa"/>
              <w:right w:w="110" w:type="dxa"/>
            </w:tcMar>
          </w:tcPr>
          <w:p>
            <w:pPr>
              <w:spacing w:after="0" w:line="247" w:lineRule="auto"/>
            </w:pPr>
            <w:r>
              <w:rPr>
                <w:b w:val="0"/>
                <w:color w:val="000000"/>
                <w:sz w:val="20"/>
              </w:rPr>
              <w:t>Product</w:t>
            </w:r>
          </w:p>
        </w:tc>
        <w:tc>
          <w:tcPr>
            <w:tcW w:type="dxa" w:w="4464"/>
            <w:vAlign w:val="center"/>
            <w:shd w:fill="F4F4F4"/>
            <w:tcMar>
              <w:top w:w="90" w:type="dxa"/>
              <w:bottom w:w="90" w:type="dxa"/>
              <w:left w:w="110" w:type="dxa"/>
              <w:right w:w="110" w:type="dxa"/>
            </w:tcMar>
          </w:tcPr>
          <w:p>
            <w:pPr>
              <w:spacing w:after="0" w:line="247" w:lineRule="auto"/>
            </w:pPr>
            <w:r>
              <w:rPr>
                <w:b w:val="0"/>
                <w:color w:val="000000"/>
                <w:sz w:val="20"/>
              </w:rPr>
              <w:t>See the available mocks and explanations.</w:t>
            </w:r>
          </w:p>
        </w:tc>
        <w:tc>
          <w:tcPr>
            <w:tcW w:type="dxa" w:w="3888"/>
            <w:vAlign w:val="center"/>
            <w:shd w:fill="F4F4F4"/>
            <w:tcMar>
              <w:top w:w="90" w:type="dxa"/>
              <w:bottom w:w="90" w:type="dxa"/>
              <w:left w:w="110" w:type="dxa"/>
              <w:right w:w="110" w:type="dxa"/>
            </w:tcMar>
          </w:tcPr>
          <w:p>
            <w:pPr>
              <w:spacing w:after="0" w:line="247" w:lineRule="auto"/>
            </w:pPr>
            <w:r>
              <w:rPr>
                <w:b w:val="0"/>
                <w:color w:val="000000"/>
                <w:sz w:val="20"/>
              </w:rPr>
              <w:t>Guaranteed selection with our secret system.</w:t>
            </w:r>
          </w:p>
        </w:tc>
      </w:tr>
      <w:tr>
        <w:trPr>
          <w:cantSplit/>
        </w:trPr>
        <w:tc>
          <w:tcPr>
            <w:tcW w:type="dxa" w:w="1584"/>
            <w:vAlign w:val="center"/>
            <w:shd w:fill="FFFFFF"/>
            <w:tcMar>
              <w:top w:w="90" w:type="dxa"/>
              <w:bottom w:w="90" w:type="dxa"/>
              <w:left w:w="110" w:type="dxa"/>
              <w:right w:w="110" w:type="dxa"/>
            </w:tcMar>
          </w:tcPr>
          <w:p>
            <w:pPr>
              <w:spacing w:after="0" w:line="247" w:lineRule="auto"/>
            </w:pPr>
            <w:r>
              <w:rPr>
                <w:b w:val="0"/>
                <w:color w:val="000000"/>
                <w:sz w:val="20"/>
              </w:rPr>
              <w:t>Correction</w:t>
            </w:r>
          </w:p>
        </w:tc>
        <w:tc>
          <w:tcPr>
            <w:tcW w:type="dxa" w:w="4464"/>
            <w:vAlign w:val="center"/>
            <w:shd w:fill="FFFFFF"/>
            <w:tcMar>
              <w:top w:w="90" w:type="dxa"/>
              <w:bottom w:w="90" w:type="dxa"/>
              <w:left w:w="110" w:type="dxa"/>
              <w:right w:w="110" w:type="dxa"/>
            </w:tcMar>
          </w:tcPr>
          <w:p>
            <w:pPr>
              <w:spacing w:after="0" w:line="247" w:lineRule="auto"/>
            </w:pPr>
            <w:r>
              <w:rPr>
                <w:b w:val="0"/>
                <w:color w:val="000000"/>
                <w:sz w:val="20"/>
              </w:rPr>
              <w:t>We corrected the answer on slide 4. The correct option is B.</w:t>
            </w:r>
          </w:p>
        </w:tc>
        <w:tc>
          <w:tcPr>
            <w:tcW w:type="dxa" w:w="3888"/>
            <w:vAlign w:val="center"/>
            <w:shd w:fill="FFFFFF"/>
            <w:tcMar>
              <w:top w:w="90" w:type="dxa"/>
              <w:bottom w:w="90" w:type="dxa"/>
              <w:left w:w="110" w:type="dxa"/>
              <w:right w:w="110" w:type="dxa"/>
            </w:tcMar>
          </w:tcPr>
          <w:p>
            <w:pPr>
              <w:spacing w:after="0" w:line="247" w:lineRule="auto"/>
            </w:pPr>
            <w:r>
              <w:rPr>
                <w:b w:val="0"/>
                <w:color w:val="000000"/>
                <w:sz w:val="20"/>
              </w:rPr>
              <w:t>Quietly changing the answer without explanation.</w:t>
            </w:r>
          </w:p>
        </w:tc>
      </w:tr>
    </w:tbl>
    <w:p>
      <w:pPr>
        <w:spacing w:after="0"/>
      </w:pPr>
    </w:p>
    <w:p>
      <w:pPr>
        <w:pStyle w:val="Heading2"/>
      </w:pPr>
      <w:r>
        <w:t>Language standard</w:t>
      </w:r>
    </w:p>
    <w:p>
      <w:r>
        <w:rPr>
          <w:b w:val="0"/>
        </w:rPr>
        <w:t>Use English and Assamese as complete communication languages. Translate the explanation and instructions along with the headline. Preserve numbers, options, and technical meaning. Ask a fluent Assamese reader to review spellings and the final typesetting before publication.</w:t>
      </w:r>
    </w:p>
    <w:p>
      <w:r>
        <w:rPr>
          <w:b w:val="0"/>
        </w:rPr>
        <w:t>Use “AxomRank” in running text and “AXOMRANK” in the wordmark or display treatments. Keep ADRE uppercase. Name a specific examination cycle only when it has been verified for that page or post.</w:t>
      </w:r>
    </w:p>
    <w:p>
      <w:pPr>
        <w:pStyle w:val="Heading2"/>
      </w:pPr>
      <w:r>
        <w:t>Message hierarchy</w:t>
      </w:r>
    </w:p>
    <w:p>
      <w:r>
        <w:rPr>
          <w:b w:val="0"/>
        </w:rPr>
        <w:t>Begin with the student's task or problem. Explain how to approach it. Show the relevant question, tool, or result. End with one action, such as “Attempt the mock,” “Practise this topic,” or “Check the official notice.” Keep the established tagline for brand-level communication.</w:t>
      </w:r>
    </w:p>
    <w:p>
      <w:pPr>
        <w:pStyle w:val="Heading2"/>
      </w:pPr>
      <w:r>
        <w:t>Tone by context</w:t>
      </w:r>
    </w:p>
    <w:p>
      <w:r>
        <w:rPr>
          <w:b w:val="0"/>
        </w:rPr>
        <w:t>Teaching can be conversational. Exam updates should be precise and restrained. Celebrations should identify the achievement honestly. Offers should explain the product, access, and price plainly. Urgency is appropriate only when a genuine deadline exists.</w:t>
      </w:r>
    </w:p>
    <w:p>
      <w:r>
        <w:br w:type="page"/>
      </w:r>
    </w:p>
    <w:p>
      <w:pPr>
        <w:pStyle w:val="Heading1"/>
      </w:pPr>
      <w:r>
        <w:t>Visual identity</w:t>
      </w:r>
    </w:p>
    <w:p>
      <w:r>
        <w:rPr>
          <w:b w:val="0"/>
        </w:rPr>
        <w:t>The visual system should be recognisable before a student reads the account name. Use the Rang Ghar mark, maroon accents, warm neutral backgrounds, and generous space around the main question. Let Assam's identity support the lesson.</w:t>
      </w:r>
    </w:p>
    <w:p>
      <w:pPr>
        <w:pStyle w:val="Heading2"/>
      </w:pPr>
      <w:r>
        <w:t>Colour palette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28"/>
        <w:gridCol w:w="5976"/>
      </w:tblGrid>
      <w:tr>
        <w:trPr>
          <w:tblHeader/>
        </w:trPr>
        <w:tc>
          <w:tcPr>
            <w:tcW w:type="dxa" w:w="2232"/>
            <w:vAlign w:val="center"/>
            <w:shd w:fill="292929"/>
            <w:tcMar>
              <w:top w:w="90" w:type="dxa"/>
              <w:bottom w:w="90" w:type="dxa"/>
              <w:left w:w="110" w:type="dxa"/>
              <w:right w:w="110" w:type="dxa"/>
            </w:tcMar>
          </w:tcPr>
          <w:p>
            <w:pPr>
              <w:spacing w:after="0" w:line="247" w:lineRule="auto"/>
            </w:pPr>
            <w:r>
              <w:rPr>
                <w:b/>
                <w:color w:val="FFFFFF"/>
                <w:sz w:val="20"/>
              </w:rPr>
              <w:t>Colour</w:t>
            </w:r>
          </w:p>
        </w:tc>
        <w:tc>
          <w:tcPr>
            <w:tcW w:type="dxa" w:w="1728"/>
            <w:vAlign w:val="center"/>
            <w:shd w:fill="292929"/>
            <w:tcMar>
              <w:top w:w="90" w:type="dxa"/>
              <w:bottom w:w="90" w:type="dxa"/>
              <w:left w:w="110" w:type="dxa"/>
              <w:right w:w="110" w:type="dxa"/>
            </w:tcMar>
          </w:tcPr>
          <w:p>
            <w:pPr>
              <w:spacing w:after="0" w:line="247" w:lineRule="auto"/>
            </w:pPr>
            <w:r>
              <w:rPr>
                <w:b/>
                <w:color w:val="FFFFFF"/>
                <w:sz w:val="20"/>
              </w:rPr>
              <w:t>Hex value</w:t>
            </w:r>
          </w:p>
        </w:tc>
        <w:tc>
          <w:tcPr>
            <w:tcW w:type="dxa" w:w="5976"/>
            <w:vAlign w:val="center"/>
            <w:shd w:fill="292929"/>
            <w:tcMar>
              <w:top w:w="90" w:type="dxa"/>
              <w:bottom w:w="90" w:type="dxa"/>
              <w:left w:w="110" w:type="dxa"/>
              <w:right w:w="110" w:type="dxa"/>
            </w:tcMar>
          </w:tcPr>
          <w:p>
            <w:pPr>
              <w:spacing w:after="0" w:line="247" w:lineRule="auto"/>
            </w:pPr>
            <w:r>
              <w:rPr>
                <w:b/>
                <w:color w:val="FFFFFF"/>
                <w:sz w:val="20"/>
              </w:rPr>
              <w:t>Role</w:t>
            </w:r>
          </w:p>
        </w:tc>
      </w:tr>
      <w:tr>
        <w:trPr>
          <w:cantSplit/>
        </w:trPr>
        <w:tc>
          <w:tcPr>
            <w:tcW w:type="dxa" w:w="2232"/>
            <w:vAlign w:val="center"/>
            <w:shd w:fill="FFFFFF"/>
            <w:tcMar>
              <w:top w:w="90" w:type="dxa"/>
              <w:bottom w:w="90" w:type="dxa"/>
              <w:left w:w="110" w:type="dxa"/>
              <w:right w:w="110" w:type="dxa"/>
            </w:tcMar>
          </w:tcPr>
          <w:p>
            <w:pPr>
              <w:spacing w:after="0" w:line="247" w:lineRule="auto"/>
            </w:pPr>
            <w:r>
              <w:rPr>
                <w:b w:val="0"/>
                <w:color w:val="000000"/>
                <w:sz w:val="20"/>
              </w:rPr>
              <w:t>Deep maroon</w:t>
            </w:r>
          </w:p>
        </w:tc>
        <w:tc>
          <w:tcPr>
            <w:tcW w:type="dxa" w:w="1728"/>
            <w:vAlign w:val="center"/>
            <w:shd w:fill="80151A"/>
            <w:tcMar>
              <w:top w:w="90" w:type="dxa"/>
              <w:bottom w:w="90" w:type="dxa"/>
              <w:left w:w="110" w:type="dxa"/>
              <w:right w:w="110" w:type="dxa"/>
            </w:tcMar>
          </w:tcPr>
          <w:p>
            <w:pPr>
              <w:spacing w:after="0" w:line="247" w:lineRule="auto"/>
            </w:pPr>
            <w:r>
              <w:rPr>
                <w:b w:val="0"/>
                <w:color w:val="FFFFFF"/>
                <w:sz w:val="20"/>
              </w:rPr>
              <w:t>80151A</w:t>
            </w:r>
          </w:p>
        </w:tc>
        <w:tc>
          <w:tcPr>
            <w:tcW w:type="dxa" w:w="5976"/>
            <w:vAlign w:val="center"/>
            <w:shd w:fill="FFFFFF"/>
            <w:tcMar>
              <w:top w:w="90" w:type="dxa"/>
              <w:bottom w:w="90" w:type="dxa"/>
              <w:left w:w="110" w:type="dxa"/>
              <w:right w:w="110" w:type="dxa"/>
            </w:tcMar>
          </w:tcPr>
          <w:p>
            <w:pPr>
              <w:spacing w:after="0" w:line="247" w:lineRule="auto"/>
            </w:pPr>
            <w:r>
              <w:rPr>
                <w:b w:val="0"/>
                <w:color w:val="000000"/>
                <w:sz w:val="20"/>
              </w:rPr>
              <w:t>Primary brand mark, buttons, key emphasis, and CTA slides.</w:t>
            </w:r>
          </w:p>
        </w:tc>
      </w:tr>
      <w:tr>
        <w:trPr>
          <w:cantSplit/>
        </w:trPr>
        <w:tc>
          <w:tcPr>
            <w:tcW w:type="dxa" w:w="2232"/>
            <w:vAlign w:val="center"/>
            <w:shd w:fill="F4F4F4"/>
            <w:tcMar>
              <w:top w:w="90" w:type="dxa"/>
              <w:bottom w:w="90" w:type="dxa"/>
              <w:left w:w="110" w:type="dxa"/>
              <w:right w:w="110" w:type="dxa"/>
            </w:tcMar>
          </w:tcPr>
          <w:p>
            <w:pPr>
              <w:spacing w:after="0" w:line="247" w:lineRule="auto"/>
            </w:pPr>
            <w:r>
              <w:rPr>
                <w:b w:val="0"/>
                <w:color w:val="000000"/>
                <w:sz w:val="20"/>
              </w:rPr>
              <w:t>Charcoal</w:t>
            </w:r>
          </w:p>
        </w:tc>
        <w:tc>
          <w:tcPr>
            <w:tcW w:type="dxa" w:w="1728"/>
            <w:vAlign w:val="center"/>
            <w:shd w:fill="292929"/>
            <w:tcMar>
              <w:top w:w="90" w:type="dxa"/>
              <w:bottom w:w="90" w:type="dxa"/>
              <w:left w:w="110" w:type="dxa"/>
              <w:right w:w="110" w:type="dxa"/>
            </w:tcMar>
          </w:tcPr>
          <w:p>
            <w:pPr>
              <w:spacing w:after="0" w:line="247" w:lineRule="auto"/>
            </w:pPr>
            <w:r>
              <w:rPr>
                <w:b w:val="0"/>
                <w:color w:val="FFFFFF"/>
                <w:sz w:val="20"/>
              </w:rPr>
              <w:t>292929</w:t>
            </w:r>
          </w:p>
        </w:tc>
        <w:tc>
          <w:tcPr>
            <w:tcW w:type="dxa" w:w="5976"/>
            <w:vAlign w:val="center"/>
            <w:shd w:fill="F4F4F4"/>
            <w:tcMar>
              <w:top w:w="90" w:type="dxa"/>
              <w:bottom w:w="90" w:type="dxa"/>
              <w:left w:w="110" w:type="dxa"/>
              <w:right w:w="110" w:type="dxa"/>
            </w:tcMar>
          </w:tcPr>
          <w:p>
            <w:pPr>
              <w:spacing w:after="0" w:line="247" w:lineRule="auto"/>
            </w:pPr>
            <w:r>
              <w:rPr>
                <w:b w:val="0"/>
                <w:color w:val="000000"/>
                <w:sz w:val="20"/>
              </w:rPr>
              <w:t>Main text and dark backgrounds.</w:t>
            </w:r>
          </w:p>
        </w:tc>
      </w:tr>
      <w:tr>
        <w:trPr>
          <w:cantSplit/>
        </w:trPr>
        <w:tc>
          <w:tcPr>
            <w:tcW w:type="dxa" w:w="2232"/>
            <w:vAlign w:val="center"/>
            <w:shd w:fill="FFFFFF"/>
            <w:tcMar>
              <w:top w:w="90" w:type="dxa"/>
              <w:bottom w:w="90" w:type="dxa"/>
              <w:left w:w="110" w:type="dxa"/>
              <w:right w:w="110" w:type="dxa"/>
            </w:tcMar>
          </w:tcPr>
          <w:p>
            <w:pPr>
              <w:spacing w:after="0" w:line="247" w:lineRule="auto"/>
            </w:pPr>
            <w:r>
              <w:rPr>
                <w:b w:val="0"/>
                <w:color w:val="000000"/>
                <w:sz w:val="20"/>
              </w:rPr>
              <w:t>Warm ivory</w:t>
            </w:r>
          </w:p>
        </w:tc>
        <w:tc>
          <w:tcPr>
            <w:tcW w:type="dxa" w:w="1728"/>
            <w:vAlign w:val="center"/>
            <w:shd w:fill="F7F2EC"/>
            <w:tcMar>
              <w:top w:w="90" w:type="dxa"/>
              <w:bottom w:w="90" w:type="dxa"/>
              <w:left w:w="110" w:type="dxa"/>
              <w:right w:w="110" w:type="dxa"/>
            </w:tcMar>
          </w:tcPr>
          <w:p>
            <w:pPr>
              <w:spacing w:after="0" w:line="247" w:lineRule="auto"/>
            </w:pPr>
            <w:r>
              <w:rPr>
                <w:b w:val="0"/>
                <w:color w:val="292929"/>
                <w:sz w:val="20"/>
              </w:rPr>
              <w:t>F7F2EC</w:t>
            </w:r>
          </w:p>
        </w:tc>
        <w:tc>
          <w:tcPr>
            <w:tcW w:type="dxa" w:w="5976"/>
            <w:vAlign w:val="center"/>
            <w:shd w:fill="FFFFFF"/>
            <w:tcMar>
              <w:top w:w="90" w:type="dxa"/>
              <w:bottom w:w="90" w:type="dxa"/>
              <w:left w:w="110" w:type="dxa"/>
              <w:right w:w="110" w:type="dxa"/>
            </w:tcMar>
          </w:tcPr>
          <w:p>
            <w:pPr>
              <w:spacing w:after="0" w:line="247" w:lineRule="auto"/>
            </w:pPr>
            <w:r>
              <w:rPr>
                <w:b w:val="0"/>
                <w:color w:val="000000"/>
                <w:sz w:val="20"/>
              </w:rPr>
              <w:t>Default learning-card and editorial background.</w:t>
            </w:r>
          </w:p>
        </w:tc>
      </w:tr>
      <w:tr>
        <w:trPr>
          <w:cantSplit/>
        </w:trPr>
        <w:tc>
          <w:tcPr>
            <w:tcW w:type="dxa" w:w="2232"/>
            <w:vAlign w:val="center"/>
            <w:shd w:fill="F4F4F4"/>
            <w:tcMar>
              <w:top w:w="90" w:type="dxa"/>
              <w:bottom w:w="90" w:type="dxa"/>
              <w:left w:w="110" w:type="dxa"/>
              <w:right w:w="110" w:type="dxa"/>
            </w:tcMar>
          </w:tcPr>
          <w:p>
            <w:pPr>
              <w:spacing w:after="0" w:line="247" w:lineRule="auto"/>
            </w:pPr>
            <w:r>
              <w:rPr>
                <w:b w:val="0"/>
                <w:color w:val="000000"/>
                <w:sz w:val="20"/>
              </w:rPr>
              <w:t>White</w:t>
            </w:r>
          </w:p>
        </w:tc>
        <w:tc>
          <w:tcPr>
            <w:tcW w:type="dxa" w:w="1728"/>
            <w:vAlign w:val="center"/>
            <w:shd w:fill="FFFFFF"/>
            <w:tcMar>
              <w:top w:w="90" w:type="dxa"/>
              <w:bottom w:w="90" w:type="dxa"/>
              <w:left w:w="110" w:type="dxa"/>
              <w:right w:w="110" w:type="dxa"/>
            </w:tcMar>
          </w:tcPr>
          <w:p>
            <w:pPr>
              <w:spacing w:after="0" w:line="247" w:lineRule="auto"/>
            </w:pPr>
            <w:r>
              <w:rPr>
                <w:b w:val="0"/>
                <w:color w:val="292929"/>
                <w:sz w:val="20"/>
              </w:rPr>
              <w:t>FFFFFF</w:t>
            </w:r>
          </w:p>
        </w:tc>
        <w:tc>
          <w:tcPr>
            <w:tcW w:type="dxa" w:w="5976"/>
            <w:vAlign w:val="center"/>
            <w:shd w:fill="F4F4F4"/>
            <w:tcMar>
              <w:top w:w="90" w:type="dxa"/>
              <w:bottom w:w="90" w:type="dxa"/>
              <w:left w:w="110" w:type="dxa"/>
              <w:right w:w="110" w:type="dxa"/>
            </w:tcMar>
          </w:tcPr>
          <w:p>
            <w:pPr>
              <w:spacing w:after="0" w:line="247" w:lineRule="auto"/>
            </w:pPr>
            <w:r>
              <w:rPr>
                <w:b w:val="0"/>
                <w:color w:val="000000"/>
                <w:sz w:val="20"/>
              </w:rPr>
              <w:t>Clean interface areas and text on dark backgrounds.</w:t>
            </w:r>
          </w:p>
        </w:tc>
      </w:tr>
      <w:tr>
        <w:trPr>
          <w:cantSplit/>
        </w:trPr>
        <w:tc>
          <w:tcPr>
            <w:tcW w:type="dxa" w:w="2232"/>
            <w:vAlign w:val="center"/>
            <w:shd w:fill="FFFFFF"/>
            <w:tcMar>
              <w:top w:w="90" w:type="dxa"/>
              <w:bottom w:w="90" w:type="dxa"/>
              <w:left w:w="110" w:type="dxa"/>
              <w:right w:w="110" w:type="dxa"/>
            </w:tcMar>
          </w:tcPr>
          <w:p>
            <w:pPr>
              <w:spacing w:after="0" w:line="247" w:lineRule="auto"/>
            </w:pPr>
            <w:r>
              <w:rPr>
                <w:b w:val="0"/>
                <w:color w:val="000000"/>
                <w:sz w:val="20"/>
              </w:rPr>
              <w:t>Muted green</w:t>
            </w:r>
          </w:p>
        </w:tc>
        <w:tc>
          <w:tcPr>
            <w:tcW w:type="dxa" w:w="1728"/>
            <w:vAlign w:val="center"/>
            <w:shd w:fill="3F6B4F"/>
            <w:tcMar>
              <w:top w:w="90" w:type="dxa"/>
              <w:bottom w:w="90" w:type="dxa"/>
              <w:left w:w="110" w:type="dxa"/>
              <w:right w:w="110" w:type="dxa"/>
            </w:tcMar>
          </w:tcPr>
          <w:p>
            <w:pPr>
              <w:spacing w:after="0" w:line="247" w:lineRule="auto"/>
            </w:pPr>
            <w:r>
              <w:rPr>
                <w:b w:val="0"/>
                <w:color w:val="FFFFFF"/>
                <w:sz w:val="20"/>
              </w:rPr>
              <w:t>3F6B4F</w:t>
            </w:r>
          </w:p>
        </w:tc>
        <w:tc>
          <w:tcPr>
            <w:tcW w:type="dxa" w:w="5976"/>
            <w:vAlign w:val="center"/>
            <w:shd w:fill="FFFFFF"/>
            <w:tcMar>
              <w:top w:w="90" w:type="dxa"/>
              <w:bottom w:w="90" w:type="dxa"/>
              <w:left w:w="110" w:type="dxa"/>
              <w:right w:w="110" w:type="dxa"/>
            </w:tcMar>
          </w:tcPr>
          <w:p>
            <w:pPr>
              <w:spacing w:after="0" w:line="247" w:lineRule="auto"/>
            </w:pPr>
            <w:r>
              <w:rPr>
                <w:b w:val="0"/>
                <w:color w:val="000000"/>
                <w:sz w:val="20"/>
              </w:rPr>
              <w:t>Correct answers and completed learning actions.</w:t>
            </w:r>
          </w:p>
        </w:tc>
      </w:tr>
    </w:tbl>
    <w:p>
      <w:pPr>
        <w:spacing w:after="0"/>
      </w:pPr>
    </w:p>
    <w:p>
      <w:pPr>
        <w:pStyle w:val="Heading2"/>
      </w:pPr>
      <w:r>
        <w:t>Typography</w:t>
      </w:r>
    </w:p>
    <w:p>
      <w:r>
        <w:rPr>
          <w:b w:val="0"/>
        </w:rPr>
        <w:t>Use a clean sans-serif typeface throughout the brand. Noto Sans and Noto Sans Bengali are suitable starting points for a shared English and Assamese system. Keep the number of weights small. Use bold for the question or headline and regular weight for explanations.</w:t>
      </w:r>
    </w:p>
    <w:p>
      <w:r>
        <w:rPr>
          <w:b w:val="0"/>
        </w:rPr>
        <w:t>For a 1080 by 1350 carousel, begin with a 64 to 84 pixel cover headline and 36 to 44 pixel body text, then adjust the line breaks to the content. Treat these as starting sizes. Check readability on a phone at normal viewing size before publishing.</w:t>
      </w:r>
    </w:p>
    <w:p>
      <w:pPr>
        <w:pStyle w:val="Heading2"/>
      </w:pPr>
      <w:r>
        <w:t>Composition</w:t>
      </w:r>
    </w:p>
    <w:p>
      <w:r>
        <w:rPr>
          <w:b w:val="0"/>
        </w:rPr>
        <w:t>Give each slide one main idea. Keep around 80 percent of the layout clean and devoted to learning, with Assamese identity expressed through the mark, language, a thin motif, or the subject itself. Use flat colour areas and simple line illustrations. Avoid dense gradients and competing decorative elements.</w:t>
      </w:r>
    </w:p>
    <w:p>
      <w:pPr>
        <w:pStyle w:val="Heading2"/>
      </w:pPr>
      <w:r>
        <w:t>Colour and meaning</w:t>
      </w:r>
    </w:p>
    <w:p>
      <w:r>
        <w:rPr>
          <w:b w:val="0"/>
        </w:rPr>
        <w:t>Use green consistently for a correct answer. Pair it with an explicit answer label so meaning does not depend on colour alone. Keep normal lesson text charcoal on ivory or white, and check that text remains readable over every background.</w:t>
      </w:r>
    </w:p>
    <w:p>
      <w:r>
        <w:br w:type="page"/>
      </w:r>
    </w:p>
    <w:p>
      <w:pPr>
        <w:pStyle w:val="Heading1"/>
      </w:pPr>
      <w:r>
        <w:t>Logo imagery and layout</w:t>
      </w:r>
    </w:p>
    <w:p>
      <w:pPr>
        <w:pStyle w:val="Heading2"/>
      </w:pPr>
      <w:r>
        <w:t>The Rang Ghar mark</w:t>
      </w:r>
    </w:p>
    <w:p>
      <w:r>
        <w:rPr>
          <w:b w:val="0"/>
        </w:rPr>
        <w:t>Keep the supplied maroon Rang Ghar artwork as the recognisable heritage asset. Use its original proportions. The detailed illustration works best where its arches and roof remain visible, such as a cover, website introduction, or larger brand signature.</w:t>
      </w:r>
    </w:p>
    <w:p>
      <w:r>
        <w:rPr>
          <w:b w:val="0"/>
        </w:rPr>
        <w:t>For small profile images and interface icons, develop a simplified companion mark from the same silhouette and test it at the actual display size. Treat that as a separate design task. Until it exists, give the supplied mark enough space to remain legible.</w:t>
      </w:r>
    </w:p>
    <w:p>
      <w:pPr>
        <w:pStyle w:val="Heading2"/>
      </w:pPr>
      <w:r>
        <w:t>Logo placement</w:t>
      </w:r>
    </w:p>
    <w:p>
      <w:r>
        <w:rPr>
          <w:b w:val="0"/>
        </w:rPr>
        <w:t>Place the mark in a consistent corner on carousel slides, normally the top right. Keep a clear gap around it at least equal to the height of one of its small ground-floor arches. Use maroon on ivory or white. If a reversed asset is needed for a dark background, prepare a proper one-colour version rather than placing a white rectangle around the image.</w:t>
      </w:r>
    </w:p>
    <w:p>
      <w:r>
        <w:rPr>
          <w:b w:val="0"/>
        </w:rPr>
        <w:t>Keep the logo smaller than the teaching headline. Do not stretch, rotate, redraw, add shadows, or overlay text across it. Keep a wordmark and the existing tagline separate from the architectural details so both remain readable.</w:t>
      </w:r>
    </w:p>
    <w:p>
      <w:pPr>
        <w:pStyle w:val="Heading2"/>
      </w:pPr>
      <w:r>
        <w:t>Photography</w:t>
      </w:r>
    </w:p>
    <w:p>
      <w:r>
        <w:rPr>
          <w:b w:val="0"/>
        </w:rPr>
        <w:t>Show believable preparation settings: a desk, a shared room, a quiet corner after work, or a student reviewing a mock on a phone. Keep skin texture, clothing, and the room natural. Use restrained colour correction and leave room for the headline.</w:t>
      </w:r>
    </w:p>
    <w:p>
      <w:r>
        <w:rPr>
          <w:b w:val="0"/>
        </w:rPr>
        <w:t>Represent Assam's communities accurately when the topic calls for it. Clothing and cultural objects should have a clear context. Avoid using one generic costume to stand for every community. Label generated scenes as illustrations wherever they could be mistaken for actual student proof.</w:t>
      </w:r>
    </w:p>
    <w:p>
      <w:pPr>
        <w:pStyle w:val="Heading2"/>
      </w:pPr>
      <w:r>
        <w:t>Carousel layout</w:t>
      </w:r>
    </w:p>
    <w:p>
      <w:r>
        <w:rPr>
          <w:b w:val="0"/>
        </w:rPr>
        <w:t>Use a 1080 by 1350 portrait canvas as the default. Keep essential text about 80 pixels inside the edges. Use a repeated header position, slide number, option spacing, and footer treatment. Change the central illustration to suit the subject while preserving the frame.</w:t>
      </w:r>
    </w:p>
    <w:p>
      <w:pPr>
        <w:pStyle w:val="Heading2"/>
      </w:pPr>
      <w:r>
        <w:t>Product proof</w:t>
      </w:r>
    </w:p>
    <w:p>
      <w:r>
        <w:rPr>
          <w:b w:val="0"/>
        </w:rPr>
        <w:t>Use screenshots of the real mobile interface. Crop to the task being demonstrated and preserve the actual result. Redact personal details when needed. Never invent an analytics panel, score, or feature to make a campaign look more convincing.</w:t>
      </w:r>
    </w:p>
    <w:p>
      <w:r>
        <w:br w:type="page"/>
      </w:r>
    </w:p>
    <w:p>
      <w:pPr>
        <w:pStyle w:val="Heading1"/>
      </w:pPr>
      <w:r>
        <w:t>Website and product experience</w:t>
      </w:r>
    </w:p>
    <w:p>
      <w:r>
        <w:rPr>
          <w:b w:val="0"/>
        </w:rPr>
        <w:t>Students should experience one AxomRank wherever they arrive. Carry the same name, logo, colour roles, language standard, and support identity across the brand homepage, practice engine, product pages, and social accounts.</w:t>
      </w:r>
    </w:p>
    <w:p>
      <w:pPr>
        <w:pStyle w:val="Heading2"/>
      </w:pPr>
      <w:r>
        <w:t>The public front door</w:t>
      </w:r>
    </w:p>
    <w:p>
      <w:r>
        <w:rPr>
          <w:b w:val="0"/>
        </w:rPr>
        <w:t>Use axomrank.org as the main brand home and social bio destination. Explain what a student can practise, show the current product, and offer a direct starting action. Lead with an actual test or topic rather than a long introduction.</w:t>
      </w:r>
    </w:p>
    <w:p>
      <w:r>
        <w:rPr>
          <w:b w:val="0"/>
        </w:rPr>
        <w:t>The learning engine currently described in the strategy sits at angsumi.online/ADRE. Keep its AxomRank identity consistent and link directly to the relevant task. A branded learning subdomain is a useful future destination when the engine can move without disrupting access.</w:t>
      </w:r>
    </w:p>
    <w:p>
      <w:pPr>
        <w:pStyle w:val="Heading2"/>
      </w:pPr>
      <w:r>
        <w:t>A consistent product vocabulary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2952"/>
        <w:gridCol w:w="4176"/>
      </w:tblGrid>
      <w:tr>
        <w:trPr>
          <w:tblHeader/>
        </w:trPr>
        <w:tc>
          <w:tcPr>
            <w:tcW w:type="dxa" w:w="2808"/>
            <w:vAlign w:val="center"/>
            <w:shd w:fill="292929"/>
            <w:tcMar>
              <w:top w:w="90" w:type="dxa"/>
              <w:bottom w:w="90" w:type="dxa"/>
              <w:left w:w="110" w:type="dxa"/>
              <w:right w:w="110" w:type="dxa"/>
            </w:tcMar>
          </w:tcPr>
          <w:p>
            <w:pPr>
              <w:spacing w:after="0" w:line="247" w:lineRule="auto"/>
            </w:pPr>
            <w:r>
              <w:rPr>
                <w:b/>
                <w:color w:val="FFFFFF"/>
                <w:sz w:val="20"/>
              </w:rPr>
              <w:t>Area</w:t>
            </w:r>
          </w:p>
        </w:tc>
        <w:tc>
          <w:tcPr>
            <w:tcW w:type="dxa" w:w="2952"/>
            <w:vAlign w:val="center"/>
            <w:shd w:fill="292929"/>
            <w:tcMar>
              <w:top w:w="90" w:type="dxa"/>
              <w:bottom w:w="90" w:type="dxa"/>
              <w:left w:w="110" w:type="dxa"/>
              <w:right w:w="110" w:type="dxa"/>
            </w:tcMar>
          </w:tcPr>
          <w:p>
            <w:pPr>
              <w:spacing w:after="0" w:line="247" w:lineRule="auto"/>
            </w:pPr>
            <w:r>
              <w:rPr>
                <w:b/>
                <w:color w:val="FFFFFF"/>
                <w:sz w:val="20"/>
              </w:rPr>
              <w:t>Name to use</w:t>
            </w:r>
          </w:p>
        </w:tc>
        <w:tc>
          <w:tcPr>
            <w:tcW w:type="dxa" w:w="4176"/>
            <w:vAlign w:val="center"/>
            <w:shd w:fill="292929"/>
            <w:tcMar>
              <w:top w:w="90" w:type="dxa"/>
              <w:bottom w:w="90" w:type="dxa"/>
              <w:left w:w="110" w:type="dxa"/>
              <w:right w:w="110" w:type="dxa"/>
            </w:tcMar>
          </w:tcPr>
          <w:p>
            <w:pPr>
              <w:spacing w:after="0" w:line="247" w:lineRule="auto"/>
            </w:pPr>
            <w:r>
              <w:rPr>
                <w:b/>
                <w:color w:val="FFFFFF"/>
                <w:sz w:val="20"/>
              </w:rPr>
              <w:t>Main action</w:t>
            </w:r>
          </w:p>
        </w:tc>
      </w:tr>
      <w:tr>
        <w:trPr>
          <w:cantSplit/>
        </w:trPr>
        <w:tc>
          <w:tcPr>
            <w:tcW w:type="dxa" w:w="2808"/>
            <w:vAlign w:val="center"/>
            <w:shd w:fill="FFFFFF"/>
            <w:tcMar>
              <w:top w:w="90" w:type="dxa"/>
              <w:bottom w:w="90" w:type="dxa"/>
              <w:left w:w="110" w:type="dxa"/>
              <w:right w:w="110" w:type="dxa"/>
            </w:tcMar>
          </w:tcPr>
          <w:p>
            <w:pPr>
              <w:spacing w:after="0" w:line="247" w:lineRule="auto"/>
            </w:pPr>
            <w:r>
              <w:rPr>
                <w:b w:val="0"/>
                <w:color w:val="000000"/>
                <w:sz w:val="20"/>
              </w:rPr>
              <w:t>Past questions</w:t>
            </w:r>
          </w:p>
        </w:tc>
        <w:tc>
          <w:tcPr>
            <w:tcW w:type="dxa" w:w="2952"/>
            <w:vAlign w:val="center"/>
            <w:shd w:fill="FFFFFF"/>
            <w:tcMar>
              <w:top w:w="90" w:type="dxa"/>
              <w:bottom w:w="90" w:type="dxa"/>
              <w:left w:w="110" w:type="dxa"/>
              <w:right w:w="110" w:type="dxa"/>
            </w:tcMar>
          </w:tcPr>
          <w:p>
            <w:pPr>
              <w:spacing w:after="0" w:line="247" w:lineRule="auto"/>
            </w:pPr>
            <w:r>
              <w:rPr>
                <w:b w:val="0"/>
                <w:color w:val="000000"/>
                <w:sz w:val="20"/>
              </w:rPr>
              <w:t>PYQ Bank</w:t>
            </w:r>
          </w:p>
        </w:tc>
        <w:tc>
          <w:tcPr>
            <w:tcW w:type="dxa" w:w="4176"/>
            <w:vAlign w:val="center"/>
            <w:shd w:fill="FFFFFF"/>
            <w:tcMar>
              <w:top w:w="90" w:type="dxa"/>
              <w:bottom w:w="90" w:type="dxa"/>
              <w:left w:w="110" w:type="dxa"/>
              <w:right w:w="110" w:type="dxa"/>
            </w:tcMar>
          </w:tcPr>
          <w:p>
            <w:pPr>
              <w:spacing w:after="0" w:line="247" w:lineRule="auto"/>
            </w:pPr>
            <w:r>
              <w:rPr>
                <w:b w:val="0"/>
                <w:color w:val="000000"/>
                <w:sz w:val="20"/>
              </w:rPr>
              <w:t>Attempt past questions</w:t>
            </w:r>
          </w:p>
        </w:tc>
      </w:tr>
      <w:tr>
        <w:trPr>
          <w:cantSplit/>
        </w:trPr>
        <w:tc>
          <w:tcPr>
            <w:tcW w:type="dxa" w:w="2808"/>
            <w:vAlign w:val="center"/>
            <w:shd w:fill="F4F4F4"/>
            <w:tcMar>
              <w:top w:w="90" w:type="dxa"/>
              <w:bottom w:w="90" w:type="dxa"/>
              <w:left w:w="110" w:type="dxa"/>
              <w:right w:w="110" w:type="dxa"/>
            </w:tcMar>
          </w:tcPr>
          <w:p>
            <w:pPr>
              <w:spacing w:after="0" w:line="247" w:lineRule="auto"/>
            </w:pPr>
            <w:r>
              <w:rPr>
                <w:b w:val="0"/>
                <w:color w:val="000000"/>
                <w:sz w:val="20"/>
              </w:rPr>
              <w:t>Full practice tests</w:t>
            </w:r>
          </w:p>
        </w:tc>
        <w:tc>
          <w:tcPr>
            <w:tcW w:type="dxa" w:w="2952"/>
            <w:vAlign w:val="center"/>
            <w:shd w:fill="F4F4F4"/>
            <w:tcMar>
              <w:top w:w="90" w:type="dxa"/>
              <w:bottom w:w="90" w:type="dxa"/>
              <w:left w:w="110" w:type="dxa"/>
              <w:right w:w="110" w:type="dxa"/>
            </w:tcMar>
          </w:tcPr>
          <w:p>
            <w:pPr>
              <w:spacing w:after="0" w:line="247" w:lineRule="auto"/>
            </w:pPr>
            <w:r>
              <w:rPr>
                <w:b w:val="0"/>
                <w:color w:val="000000"/>
                <w:sz w:val="20"/>
              </w:rPr>
              <w:t>Mock Tests</w:t>
            </w:r>
          </w:p>
        </w:tc>
        <w:tc>
          <w:tcPr>
            <w:tcW w:type="dxa" w:w="4176"/>
            <w:vAlign w:val="center"/>
            <w:shd w:fill="F4F4F4"/>
            <w:tcMar>
              <w:top w:w="90" w:type="dxa"/>
              <w:bottom w:w="90" w:type="dxa"/>
              <w:left w:w="110" w:type="dxa"/>
              <w:right w:w="110" w:type="dxa"/>
            </w:tcMar>
          </w:tcPr>
          <w:p>
            <w:pPr>
              <w:spacing w:after="0" w:line="247" w:lineRule="auto"/>
            </w:pPr>
            <w:r>
              <w:rPr>
                <w:b w:val="0"/>
                <w:color w:val="000000"/>
                <w:sz w:val="20"/>
              </w:rPr>
              <w:t>Start a mock</w:t>
            </w:r>
          </w:p>
        </w:tc>
      </w:tr>
      <w:tr>
        <w:trPr>
          <w:cantSplit/>
        </w:trPr>
        <w:tc>
          <w:tcPr>
            <w:tcW w:type="dxa" w:w="2808"/>
            <w:vAlign w:val="center"/>
            <w:shd w:fill="FFFFFF"/>
            <w:tcMar>
              <w:top w:w="90" w:type="dxa"/>
              <w:bottom w:w="90" w:type="dxa"/>
              <w:left w:w="110" w:type="dxa"/>
              <w:right w:w="110" w:type="dxa"/>
            </w:tcMar>
          </w:tcPr>
          <w:p>
            <w:pPr>
              <w:spacing w:after="0" w:line="247" w:lineRule="auto"/>
            </w:pPr>
            <w:r>
              <w:rPr>
                <w:b w:val="0"/>
                <w:color w:val="000000"/>
                <w:sz w:val="20"/>
              </w:rPr>
              <w:t>Focused question sets</w:t>
            </w:r>
          </w:p>
        </w:tc>
        <w:tc>
          <w:tcPr>
            <w:tcW w:type="dxa" w:w="2952"/>
            <w:vAlign w:val="center"/>
            <w:shd w:fill="FFFFFF"/>
            <w:tcMar>
              <w:top w:w="90" w:type="dxa"/>
              <w:bottom w:w="90" w:type="dxa"/>
              <w:left w:w="110" w:type="dxa"/>
              <w:right w:w="110" w:type="dxa"/>
            </w:tcMar>
          </w:tcPr>
          <w:p>
            <w:pPr>
              <w:spacing w:after="0" w:line="247" w:lineRule="auto"/>
            </w:pPr>
            <w:r>
              <w:rPr>
                <w:b w:val="0"/>
                <w:color w:val="000000"/>
                <w:sz w:val="20"/>
              </w:rPr>
              <w:t>Topic Practice</w:t>
            </w:r>
          </w:p>
        </w:tc>
        <w:tc>
          <w:tcPr>
            <w:tcW w:type="dxa" w:w="4176"/>
            <w:vAlign w:val="center"/>
            <w:shd w:fill="FFFFFF"/>
            <w:tcMar>
              <w:top w:w="90" w:type="dxa"/>
              <w:bottom w:w="90" w:type="dxa"/>
              <w:left w:w="110" w:type="dxa"/>
              <w:right w:w="110" w:type="dxa"/>
            </w:tcMar>
          </w:tcPr>
          <w:p>
            <w:pPr>
              <w:spacing w:after="0" w:line="247" w:lineRule="auto"/>
            </w:pPr>
            <w:r>
              <w:rPr>
                <w:b w:val="0"/>
                <w:color w:val="000000"/>
                <w:sz w:val="20"/>
              </w:rPr>
              <w:t>Practise this topic</w:t>
            </w:r>
          </w:p>
        </w:tc>
      </w:tr>
      <w:tr>
        <w:trPr>
          <w:cantSplit/>
        </w:trPr>
        <w:tc>
          <w:tcPr>
            <w:tcW w:type="dxa" w:w="2808"/>
            <w:vAlign w:val="center"/>
            <w:shd w:fill="F4F4F4"/>
            <w:tcMar>
              <w:top w:w="90" w:type="dxa"/>
              <w:bottom w:w="90" w:type="dxa"/>
              <w:left w:w="110" w:type="dxa"/>
              <w:right w:w="110" w:type="dxa"/>
            </w:tcMar>
          </w:tcPr>
          <w:p>
            <w:pPr>
              <w:spacing w:after="0" w:line="247" w:lineRule="auto"/>
            </w:pPr>
            <w:r>
              <w:rPr>
                <w:b w:val="0"/>
                <w:color w:val="000000"/>
                <w:sz w:val="20"/>
              </w:rPr>
              <w:t>Planning tool</w:t>
            </w:r>
          </w:p>
        </w:tc>
        <w:tc>
          <w:tcPr>
            <w:tcW w:type="dxa" w:w="2952"/>
            <w:vAlign w:val="center"/>
            <w:shd w:fill="F4F4F4"/>
            <w:tcMar>
              <w:top w:w="90" w:type="dxa"/>
              <w:bottom w:w="90" w:type="dxa"/>
              <w:left w:w="110" w:type="dxa"/>
              <w:right w:w="110" w:type="dxa"/>
            </w:tcMar>
          </w:tcPr>
          <w:p>
            <w:pPr>
              <w:spacing w:after="0" w:line="247" w:lineRule="auto"/>
            </w:pPr>
            <w:r>
              <w:rPr>
                <w:b w:val="0"/>
                <w:color w:val="000000"/>
                <w:sz w:val="20"/>
              </w:rPr>
              <w:t>Study Planner</w:t>
            </w:r>
          </w:p>
        </w:tc>
        <w:tc>
          <w:tcPr>
            <w:tcW w:type="dxa" w:w="4176"/>
            <w:vAlign w:val="center"/>
            <w:shd w:fill="F4F4F4"/>
            <w:tcMar>
              <w:top w:w="90" w:type="dxa"/>
              <w:bottom w:w="90" w:type="dxa"/>
              <w:left w:w="110" w:type="dxa"/>
              <w:right w:w="110" w:type="dxa"/>
            </w:tcMar>
          </w:tcPr>
          <w:p>
            <w:pPr>
              <w:spacing w:after="0" w:line="247" w:lineRule="auto"/>
            </w:pPr>
            <w:r>
              <w:rPr>
                <w:b w:val="0"/>
                <w:color w:val="000000"/>
                <w:sz w:val="20"/>
              </w:rPr>
              <w:t>Build a study plan</w:t>
            </w:r>
          </w:p>
        </w:tc>
      </w:tr>
      <w:tr>
        <w:trPr>
          <w:cantSplit/>
        </w:trPr>
        <w:tc>
          <w:tcPr>
            <w:tcW w:type="dxa" w:w="2808"/>
            <w:vAlign w:val="center"/>
            <w:shd w:fill="FFFFFF"/>
            <w:tcMar>
              <w:top w:w="90" w:type="dxa"/>
              <w:bottom w:w="90" w:type="dxa"/>
              <w:left w:w="110" w:type="dxa"/>
              <w:right w:w="110" w:type="dxa"/>
            </w:tcMar>
          </w:tcPr>
          <w:p>
            <w:pPr>
              <w:spacing w:after="0" w:line="247" w:lineRule="auto"/>
            </w:pPr>
            <w:r>
              <w:rPr>
                <w:b w:val="0"/>
                <w:color w:val="000000"/>
                <w:sz w:val="20"/>
              </w:rPr>
              <w:t>Application guidance tool</w:t>
            </w:r>
          </w:p>
        </w:tc>
        <w:tc>
          <w:tcPr>
            <w:tcW w:type="dxa" w:w="2952"/>
            <w:vAlign w:val="center"/>
            <w:shd w:fill="FFFFFF"/>
            <w:tcMar>
              <w:top w:w="90" w:type="dxa"/>
              <w:bottom w:w="90" w:type="dxa"/>
              <w:left w:w="110" w:type="dxa"/>
              <w:right w:w="110" w:type="dxa"/>
            </w:tcMar>
          </w:tcPr>
          <w:p>
            <w:pPr>
              <w:spacing w:after="0" w:line="247" w:lineRule="auto"/>
            </w:pPr>
            <w:r>
              <w:rPr>
                <w:b w:val="0"/>
                <w:color w:val="000000"/>
                <w:sz w:val="20"/>
              </w:rPr>
              <w:t>Eligibility Checker</w:t>
            </w:r>
          </w:p>
        </w:tc>
        <w:tc>
          <w:tcPr>
            <w:tcW w:type="dxa" w:w="4176"/>
            <w:vAlign w:val="center"/>
            <w:shd w:fill="FFFFFF"/>
            <w:tcMar>
              <w:top w:w="90" w:type="dxa"/>
              <w:bottom w:w="90" w:type="dxa"/>
              <w:left w:w="110" w:type="dxa"/>
              <w:right w:w="110" w:type="dxa"/>
            </w:tcMar>
          </w:tcPr>
          <w:p>
            <w:pPr>
              <w:spacing w:after="0" w:line="247" w:lineRule="auto"/>
            </w:pPr>
            <w:r>
              <w:rPr>
                <w:b w:val="0"/>
                <w:color w:val="000000"/>
                <w:sz w:val="20"/>
              </w:rPr>
              <w:t>Check eligibility</w:t>
            </w:r>
          </w:p>
        </w:tc>
      </w:tr>
      <w:tr>
        <w:trPr>
          <w:cantSplit/>
        </w:trPr>
        <w:tc>
          <w:tcPr>
            <w:tcW w:type="dxa" w:w="2808"/>
            <w:vAlign w:val="center"/>
            <w:shd w:fill="F4F4F4"/>
            <w:tcMar>
              <w:top w:w="90" w:type="dxa"/>
              <w:bottom w:w="90" w:type="dxa"/>
              <w:left w:w="110" w:type="dxa"/>
              <w:right w:w="110" w:type="dxa"/>
            </w:tcMar>
          </w:tcPr>
          <w:p>
            <w:pPr>
              <w:spacing w:after="0" w:line="247" w:lineRule="auto"/>
            </w:pPr>
            <w:r>
              <w:rPr>
                <w:b w:val="0"/>
                <w:color w:val="000000"/>
                <w:sz w:val="20"/>
              </w:rPr>
              <w:t>Document service</w:t>
            </w:r>
          </w:p>
        </w:tc>
        <w:tc>
          <w:tcPr>
            <w:tcW w:type="dxa" w:w="2952"/>
            <w:vAlign w:val="center"/>
            <w:shd w:fill="F4F4F4"/>
            <w:tcMar>
              <w:top w:w="90" w:type="dxa"/>
              <w:bottom w:w="90" w:type="dxa"/>
              <w:left w:w="110" w:type="dxa"/>
              <w:right w:w="110" w:type="dxa"/>
            </w:tcMar>
          </w:tcPr>
          <w:p>
            <w:pPr>
              <w:spacing w:after="0" w:line="247" w:lineRule="auto"/>
            </w:pPr>
            <w:r>
              <w:rPr>
                <w:b w:val="0"/>
                <w:color w:val="000000"/>
                <w:sz w:val="20"/>
              </w:rPr>
              <w:t>Document Vault</w:t>
            </w:r>
          </w:p>
        </w:tc>
        <w:tc>
          <w:tcPr>
            <w:tcW w:type="dxa" w:w="4176"/>
            <w:vAlign w:val="center"/>
            <w:shd w:fill="F4F4F4"/>
            <w:tcMar>
              <w:top w:w="90" w:type="dxa"/>
              <w:bottom w:w="90" w:type="dxa"/>
              <w:left w:w="110" w:type="dxa"/>
              <w:right w:w="110" w:type="dxa"/>
            </w:tcMar>
          </w:tcPr>
          <w:p>
            <w:pPr>
              <w:spacing w:after="0" w:line="247" w:lineRule="auto"/>
            </w:pPr>
            <w:r>
              <w:rPr>
                <w:b w:val="0"/>
                <w:color w:val="000000"/>
                <w:sz w:val="20"/>
              </w:rPr>
              <w:t>View service details</w:t>
            </w:r>
          </w:p>
        </w:tc>
      </w:tr>
    </w:tbl>
    <w:p>
      <w:pPr>
        <w:spacing w:after="0"/>
      </w:pPr>
    </w:p>
    <w:p>
      <w:r>
        <w:rPr>
          <w:b w:val="0"/>
        </w:rPr>
        <w:t>Use this naming system consistently once adopted. Show only areas that actually exist, and describe their current access accurately. A product name should help a student recognise its purpose.</w:t>
      </w:r>
    </w:p>
    <w:p>
      <w:pPr>
        <w:pStyle w:val="Heading2"/>
      </w:pPr>
      <w:r>
        <w:t>The learning sequence</w:t>
      </w:r>
    </w:p>
    <w:p>
      <w:r>
        <w:rPr>
          <w:b w:val="0"/>
        </w:rPr>
        <w:t>A student starts a question or test, attempts it, checks the answer, understands the explanation, and chooses the next practice task. Keep this sequence visible. If a tool reports a result, explain what the result means and what information it uses.</w:t>
      </w:r>
    </w:p>
    <w:p>
      <w:pPr>
        <w:pStyle w:val="Heading2"/>
      </w:pPr>
      <w:r>
        <w:t>Trust in the interface</w:t>
      </w:r>
    </w:p>
    <w:p>
      <w:r>
        <w:rPr>
          <w:b w:val="0"/>
        </w:rPr>
        <w:t>Display genuine team or contact details. Keep the support identity consistent. Give exam notices a source and date. Explain paid access, duration, price, and inclusions before checkout. Use current product screenshots in promotional sections.</w:t>
      </w:r>
    </w:p>
    <w:p>
      <w:r>
        <w:br w:type="page"/>
      </w:r>
    </w:p>
    <w:p>
      <w:pPr>
        <w:pStyle w:val="Heading1"/>
      </w:pPr>
      <w:r>
        <w:t>Social content and campaigns</w:t>
      </w:r>
    </w:p>
    <w:p>
      <w:r>
        <w:rPr>
          <w:b w:val="0"/>
        </w:rPr>
        <w:t>The Instagram feed should feel like a familiar place to practise. Begin with the question, confusion, or useful task. Make the answer readable. Finish with a relevant practice action on AxomRank.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6192"/>
      </w:tblGrid>
      <w:tr>
        <w:trPr>
          <w:tblHeader/>
        </w:trPr>
        <w:tc>
          <w:tcPr>
            <w:tcW w:type="dxa" w:w="2880"/>
            <w:vAlign w:val="center"/>
            <w:shd w:fill="292929"/>
            <w:tcMar>
              <w:top w:w="90" w:type="dxa"/>
              <w:bottom w:w="90" w:type="dxa"/>
              <w:left w:w="110" w:type="dxa"/>
              <w:right w:w="110" w:type="dxa"/>
            </w:tcMar>
          </w:tcPr>
          <w:p>
            <w:pPr>
              <w:spacing w:after="0" w:line="247" w:lineRule="auto"/>
            </w:pPr>
            <w:r>
              <w:rPr>
                <w:b/>
                <w:color w:val="FFFFFF"/>
                <w:sz w:val="20"/>
              </w:rPr>
              <w:t>Pillar</w:t>
            </w:r>
          </w:p>
        </w:tc>
        <w:tc>
          <w:tcPr>
            <w:tcW w:type="dxa" w:w="864"/>
            <w:vAlign w:val="center"/>
            <w:shd w:fill="292929"/>
            <w:tcMar>
              <w:top w:w="90" w:type="dxa"/>
              <w:bottom w:w="90" w:type="dxa"/>
              <w:left w:w="110" w:type="dxa"/>
              <w:right w:w="110" w:type="dxa"/>
            </w:tcMar>
          </w:tcPr>
          <w:p>
            <w:pPr>
              <w:spacing w:after="0" w:line="247" w:lineRule="auto"/>
            </w:pPr>
            <w:r>
              <w:rPr>
                <w:b/>
                <w:color w:val="FFFFFF"/>
                <w:sz w:val="20"/>
              </w:rPr>
              <w:t>Share</w:t>
            </w:r>
          </w:p>
        </w:tc>
        <w:tc>
          <w:tcPr>
            <w:tcW w:type="dxa" w:w="6192"/>
            <w:vAlign w:val="center"/>
            <w:shd w:fill="292929"/>
            <w:tcMar>
              <w:top w:w="90" w:type="dxa"/>
              <w:bottom w:w="90" w:type="dxa"/>
              <w:left w:w="110" w:type="dxa"/>
              <w:right w:w="110" w:type="dxa"/>
            </w:tcMar>
          </w:tcPr>
          <w:p>
            <w:pPr>
              <w:spacing w:after="0" w:line="247" w:lineRule="auto"/>
            </w:pPr>
            <w:r>
              <w:rPr>
                <w:b/>
                <w:color w:val="FFFFFF"/>
                <w:sz w:val="20"/>
              </w:rPr>
              <w:t>Typical content</w:t>
            </w:r>
          </w:p>
        </w:tc>
      </w:tr>
      <w:tr>
        <w:trPr>
          <w:cantSplit/>
        </w:trPr>
        <w:tc>
          <w:tcPr>
            <w:tcW w:type="dxa" w:w="2880"/>
            <w:vAlign w:val="center"/>
            <w:shd w:fill="FFFFFF"/>
            <w:tcMar>
              <w:top w:w="90" w:type="dxa"/>
              <w:bottom w:w="90" w:type="dxa"/>
              <w:left w:w="110" w:type="dxa"/>
              <w:right w:w="110" w:type="dxa"/>
            </w:tcMar>
          </w:tcPr>
          <w:p>
            <w:pPr>
              <w:spacing w:after="0" w:line="247" w:lineRule="auto"/>
            </w:pPr>
            <w:r>
              <w:rPr>
                <w:b w:val="0"/>
                <w:color w:val="000000"/>
                <w:sz w:val="20"/>
              </w:rPr>
              <w:t>Practice</w:t>
            </w:r>
          </w:p>
        </w:tc>
        <w:tc>
          <w:tcPr>
            <w:tcW w:type="dxa" w:w="864"/>
            <w:vAlign w:val="center"/>
            <w:shd w:fill="FFFFFF"/>
            <w:tcMar>
              <w:top w:w="90" w:type="dxa"/>
              <w:bottom w:w="90" w:type="dxa"/>
              <w:left w:w="110" w:type="dxa"/>
              <w:right w:w="110" w:type="dxa"/>
            </w:tcMar>
          </w:tcPr>
          <w:p>
            <w:pPr>
              <w:spacing w:after="0" w:line="247" w:lineRule="auto"/>
            </w:pPr>
            <w:r>
              <w:rPr>
                <w:b w:val="0"/>
                <w:color w:val="000000"/>
                <w:sz w:val="20"/>
              </w:rPr>
              <w:t>40%</w:t>
            </w:r>
          </w:p>
        </w:tc>
        <w:tc>
          <w:tcPr>
            <w:tcW w:type="dxa" w:w="6192"/>
            <w:vAlign w:val="center"/>
            <w:shd w:fill="FFFFFF"/>
            <w:tcMar>
              <w:top w:w="90" w:type="dxa"/>
              <w:bottom w:w="90" w:type="dxa"/>
              <w:left w:w="110" w:type="dxa"/>
              <w:right w:w="110" w:type="dxa"/>
            </w:tcMar>
          </w:tcPr>
          <w:p>
            <w:pPr>
              <w:spacing w:after="0" w:line="247" w:lineRule="auto"/>
            </w:pPr>
            <w:r>
              <w:rPr>
                <w:b w:val="0"/>
                <w:color w:val="000000"/>
                <w:sz w:val="20"/>
              </w:rPr>
              <w:t>Questions, short quizzes, and wrong-answer explanations.</w:t>
            </w:r>
          </w:p>
        </w:tc>
      </w:tr>
      <w:tr>
        <w:trPr>
          <w:cantSplit/>
        </w:trPr>
        <w:tc>
          <w:tcPr>
            <w:tcW w:type="dxa" w:w="2880"/>
            <w:vAlign w:val="center"/>
            <w:shd w:fill="F4F4F4"/>
            <w:tcMar>
              <w:top w:w="90" w:type="dxa"/>
              <w:bottom w:w="90" w:type="dxa"/>
              <w:left w:w="110" w:type="dxa"/>
              <w:right w:w="110" w:type="dxa"/>
            </w:tcMar>
          </w:tcPr>
          <w:p>
            <w:pPr>
              <w:spacing w:after="0" w:line="247" w:lineRule="auto"/>
            </w:pPr>
            <w:r>
              <w:rPr>
                <w:b w:val="0"/>
                <w:color w:val="000000"/>
                <w:sz w:val="20"/>
              </w:rPr>
              <w:t>Guidance and tools</w:t>
            </w:r>
          </w:p>
        </w:tc>
        <w:tc>
          <w:tcPr>
            <w:tcW w:type="dxa" w:w="864"/>
            <w:vAlign w:val="center"/>
            <w:shd w:fill="F4F4F4"/>
            <w:tcMar>
              <w:top w:w="90" w:type="dxa"/>
              <w:bottom w:w="90" w:type="dxa"/>
              <w:left w:w="110" w:type="dxa"/>
              <w:right w:w="110" w:type="dxa"/>
            </w:tcMar>
          </w:tcPr>
          <w:p>
            <w:pPr>
              <w:spacing w:after="0" w:line="247" w:lineRule="auto"/>
            </w:pPr>
            <w:r>
              <w:rPr>
                <w:b w:val="0"/>
                <w:color w:val="000000"/>
                <w:sz w:val="20"/>
              </w:rPr>
              <w:t>20%</w:t>
            </w:r>
          </w:p>
        </w:tc>
        <w:tc>
          <w:tcPr>
            <w:tcW w:type="dxa" w:w="6192"/>
            <w:vAlign w:val="center"/>
            <w:shd w:fill="F4F4F4"/>
            <w:tcMar>
              <w:top w:w="90" w:type="dxa"/>
              <w:bottom w:w="90" w:type="dxa"/>
              <w:left w:w="110" w:type="dxa"/>
              <w:right w:w="110" w:type="dxa"/>
            </w:tcMar>
          </w:tcPr>
          <w:p>
            <w:pPr>
              <w:spacing w:after="0" w:line="247" w:lineRule="auto"/>
            </w:pPr>
            <w:r>
              <w:rPr>
                <w:b w:val="0"/>
                <w:color w:val="000000"/>
                <w:sz w:val="20"/>
              </w:rPr>
              <w:t>Study plans, eligibility checks, and tool demonstrations.</w:t>
            </w:r>
          </w:p>
        </w:tc>
      </w:tr>
      <w:tr>
        <w:trPr>
          <w:cantSplit/>
        </w:trPr>
        <w:tc>
          <w:tcPr>
            <w:tcW w:type="dxa" w:w="2880"/>
            <w:vAlign w:val="center"/>
            <w:shd w:fill="FFFFFF"/>
            <w:tcMar>
              <w:top w:w="90" w:type="dxa"/>
              <w:bottom w:w="90" w:type="dxa"/>
              <w:left w:w="110" w:type="dxa"/>
              <w:right w:w="110" w:type="dxa"/>
            </w:tcMar>
          </w:tcPr>
          <w:p>
            <w:pPr>
              <w:spacing w:after="0" w:line="247" w:lineRule="auto"/>
            </w:pPr>
            <w:r>
              <w:rPr>
                <w:b w:val="0"/>
                <w:color w:val="000000"/>
                <w:sz w:val="20"/>
              </w:rPr>
              <w:t>Assam GK and culture</w:t>
            </w:r>
          </w:p>
        </w:tc>
        <w:tc>
          <w:tcPr>
            <w:tcW w:type="dxa" w:w="864"/>
            <w:vAlign w:val="center"/>
            <w:shd w:fill="FFFFFF"/>
            <w:tcMar>
              <w:top w:w="90" w:type="dxa"/>
              <w:bottom w:w="90" w:type="dxa"/>
              <w:left w:w="110" w:type="dxa"/>
              <w:right w:w="110" w:type="dxa"/>
            </w:tcMar>
          </w:tcPr>
          <w:p>
            <w:pPr>
              <w:spacing w:after="0" w:line="247" w:lineRule="auto"/>
            </w:pPr>
            <w:r>
              <w:rPr>
                <w:b w:val="0"/>
                <w:color w:val="000000"/>
                <w:sz w:val="20"/>
              </w:rPr>
              <w:t>15%</w:t>
            </w:r>
          </w:p>
        </w:tc>
        <w:tc>
          <w:tcPr>
            <w:tcW w:type="dxa" w:w="6192"/>
            <w:vAlign w:val="center"/>
            <w:shd w:fill="FFFFFF"/>
            <w:tcMar>
              <w:top w:w="90" w:type="dxa"/>
              <w:bottom w:w="90" w:type="dxa"/>
              <w:left w:w="110" w:type="dxa"/>
              <w:right w:w="110" w:type="dxa"/>
            </w:tcMar>
          </w:tcPr>
          <w:p>
            <w:pPr>
              <w:spacing w:after="0" w:line="247" w:lineRule="auto"/>
            </w:pPr>
            <w:r>
              <w:rPr>
                <w:b w:val="0"/>
                <w:color w:val="000000"/>
                <w:sz w:val="20"/>
              </w:rPr>
              <w:t>Verified history, geography, festivals, and institutions.</w:t>
            </w:r>
          </w:p>
        </w:tc>
      </w:tr>
      <w:tr>
        <w:trPr>
          <w:cantSplit/>
        </w:trPr>
        <w:tc>
          <w:tcPr>
            <w:tcW w:type="dxa" w:w="2880"/>
            <w:vAlign w:val="center"/>
            <w:shd w:fill="F4F4F4"/>
            <w:tcMar>
              <w:top w:w="90" w:type="dxa"/>
              <w:bottom w:w="90" w:type="dxa"/>
              <w:left w:w="110" w:type="dxa"/>
              <w:right w:w="110" w:type="dxa"/>
            </w:tcMar>
          </w:tcPr>
          <w:p>
            <w:pPr>
              <w:spacing w:after="0" w:line="247" w:lineRule="auto"/>
            </w:pPr>
            <w:r>
              <w:rPr>
                <w:b w:val="0"/>
                <w:color w:val="000000"/>
                <w:sz w:val="20"/>
              </w:rPr>
              <w:t>Community and progress</w:t>
            </w:r>
          </w:p>
        </w:tc>
        <w:tc>
          <w:tcPr>
            <w:tcW w:type="dxa" w:w="864"/>
            <w:vAlign w:val="center"/>
            <w:shd w:fill="F4F4F4"/>
            <w:tcMar>
              <w:top w:w="90" w:type="dxa"/>
              <w:bottom w:w="90" w:type="dxa"/>
              <w:left w:w="110" w:type="dxa"/>
              <w:right w:w="110" w:type="dxa"/>
            </w:tcMar>
          </w:tcPr>
          <w:p>
            <w:pPr>
              <w:spacing w:after="0" w:line="247" w:lineRule="auto"/>
            </w:pPr>
            <w:r>
              <w:rPr>
                <w:b w:val="0"/>
                <w:color w:val="000000"/>
                <w:sz w:val="20"/>
              </w:rPr>
              <w:t>15%</w:t>
            </w:r>
          </w:p>
        </w:tc>
        <w:tc>
          <w:tcPr>
            <w:tcW w:type="dxa" w:w="6192"/>
            <w:vAlign w:val="center"/>
            <w:shd w:fill="F4F4F4"/>
            <w:tcMar>
              <w:top w:w="90" w:type="dxa"/>
              <w:bottom w:w="90" w:type="dxa"/>
              <w:left w:w="110" w:type="dxa"/>
              <w:right w:w="110" w:type="dxa"/>
            </w:tcMar>
          </w:tcPr>
          <w:p>
            <w:pPr>
              <w:spacing w:after="0" w:line="247" w:lineRule="auto"/>
            </w:pPr>
            <w:r>
              <w:rPr>
                <w:b w:val="0"/>
                <w:color w:val="000000"/>
                <w:sz w:val="20"/>
              </w:rPr>
              <w:t>Real practice habits, mock reviews, and genuine results.</w:t>
            </w:r>
          </w:p>
        </w:tc>
      </w:tr>
      <w:tr>
        <w:trPr>
          <w:cantSplit/>
        </w:trPr>
        <w:tc>
          <w:tcPr>
            <w:tcW w:type="dxa" w:w="2880"/>
            <w:vAlign w:val="center"/>
            <w:shd w:fill="FFFFFF"/>
            <w:tcMar>
              <w:top w:w="90" w:type="dxa"/>
              <w:bottom w:w="90" w:type="dxa"/>
              <w:left w:w="110" w:type="dxa"/>
              <w:right w:w="110" w:type="dxa"/>
            </w:tcMar>
          </w:tcPr>
          <w:p>
            <w:pPr>
              <w:spacing w:after="0" w:line="247" w:lineRule="auto"/>
            </w:pPr>
            <w:r>
              <w:rPr>
                <w:b w:val="0"/>
                <w:color w:val="000000"/>
                <w:sz w:val="20"/>
              </w:rPr>
              <w:t>Offers</w:t>
            </w:r>
          </w:p>
        </w:tc>
        <w:tc>
          <w:tcPr>
            <w:tcW w:type="dxa" w:w="864"/>
            <w:vAlign w:val="center"/>
            <w:shd w:fill="FFFFFF"/>
            <w:tcMar>
              <w:top w:w="90" w:type="dxa"/>
              <w:bottom w:w="90" w:type="dxa"/>
              <w:left w:w="110" w:type="dxa"/>
              <w:right w:w="110" w:type="dxa"/>
            </w:tcMar>
          </w:tcPr>
          <w:p>
            <w:pPr>
              <w:spacing w:after="0" w:line="247" w:lineRule="auto"/>
            </w:pPr>
            <w:r>
              <w:rPr>
                <w:b w:val="0"/>
                <w:color w:val="000000"/>
                <w:sz w:val="20"/>
              </w:rPr>
              <w:t>10%</w:t>
            </w:r>
          </w:p>
        </w:tc>
        <w:tc>
          <w:tcPr>
            <w:tcW w:type="dxa" w:w="6192"/>
            <w:vAlign w:val="center"/>
            <w:shd w:fill="FFFFFF"/>
            <w:tcMar>
              <w:top w:w="90" w:type="dxa"/>
              <w:bottom w:w="90" w:type="dxa"/>
              <w:left w:w="110" w:type="dxa"/>
              <w:right w:w="110" w:type="dxa"/>
            </w:tcMar>
          </w:tcPr>
          <w:p>
            <w:pPr>
              <w:spacing w:after="0" w:line="247" w:lineRule="auto"/>
            </w:pPr>
            <w:r>
              <w:rPr>
                <w:b w:val="0"/>
                <w:color w:val="000000"/>
                <w:sz w:val="20"/>
              </w:rPr>
              <w:t>Clear product explanations and current access options.</w:t>
            </w:r>
          </w:p>
        </w:tc>
      </w:tr>
    </w:tbl>
    <w:p>
      <w:pPr>
        <w:spacing w:after="0"/>
      </w:pPr>
    </w:p>
    <w:p>
      <w:pPr>
        <w:pStyle w:val="Heading2"/>
      </w:pPr>
      <w:r>
        <w:t>Recurring series</w:t>
      </w:r>
    </w:p>
    <w:p>
      <w:r>
        <w:rPr>
          <w:b w:val="0"/>
        </w:rPr>
        <w:t>Use PYQ of the Day for verified past questions, Wrong Answer Clinic for tempting options and common errors, Assam GK Notes for local revision, and Sunday Mock for a regular practice invitation. Use Rank Lab only when real data supports the analysis. Keep a quick quiz series consistent in its actual question count.</w:t>
      </w:r>
    </w:p>
    <w:p>
      <w:pPr>
        <w:pStyle w:val="Heading2"/>
      </w:pPr>
      <w:r>
        <w:t>A six slide teaching carousel</w:t>
      </w:r>
    </w:p>
    <w:p>
      <w:r>
        <w:rPr>
          <w:b w:val="0"/>
        </w:rPr>
        <w:t>Slide 1 introduces the question or confusion. Slides 2 to 4 teach the steps or present the practice questions. Slide 5 gives the answer and the reason. Slide 6 offers one next action. Use more slides only when the explanation needs them.</w:t>
      </w:r>
    </w:p>
    <w:p>
      <w:pPr>
        <w:pStyle w:val="Heading2"/>
      </w:pPr>
      <w:r>
        <w:t>A student story campaign</w:t>
      </w:r>
    </w:p>
    <w:p>
      <w:r>
        <w:rPr>
          <w:b w:val="0"/>
        </w:rPr>
        <w:t>Open with a specific struggle, such as a student who keeps saving lessons but postpones practice. Show a believable study moment. Introduce the AxomRank task that helps them begin. Demonstrate the real mobile interface. End with an invitation to attempt the relevant questions.</w:t>
      </w:r>
    </w:p>
    <w:p>
      <w:r>
        <w:rPr>
          <w:b w:val="0"/>
        </w:rPr>
        <w:t>Example campaign copy: “You saved the explanation. Try the question tonight.” Follow it with a short demonstration and “Start one practice set on AxomRank.” Keep the student's action at the centre of the story.</w:t>
      </w:r>
    </w:p>
    <w:p>
      <w:pPr>
        <w:pStyle w:val="Heading2"/>
      </w:pPr>
      <w:r>
        <w:t>Judge content by useful action</w:t>
      </w:r>
    </w:p>
    <w:p>
      <w:r>
        <w:rPr>
          <w:b w:val="0"/>
        </w:rPr>
        <w:t>Track practice starts, completed mocks, topic visits, and returning students. Saves and comments help explain interest, but a comment containing an answer or score is more useful evidence than an emoji alone. Promote formats that bring students back to practise.</w:t>
      </w:r>
    </w:p>
    <w:p>
      <w:r>
        <w:br w:type="page"/>
      </w:r>
    </w:p>
    <w:p>
      <w:pPr>
        <w:pStyle w:val="Heading1"/>
      </w:pPr>
      <w:r>
        <w:t>Brand copy library</w:t>
      </w:r>
    </w:p>
    <w:p>
      <w:pPr>
        <w:pStyle w:val="Heading2"/>
      </w:pPr>
      <w:r>
        <w:t>Homepage hero</w:t>
      </w:r>
    </w:p>
    <w:p>
      <w:r>
        <w:rPr>
          <w:b/>
        </w:rPr>
        <w:t>Prepare smarter. Rank higher.</w:t>
      </w:r>
    </w:p>
    <w:p>
      <w:r>
        <w:rPr>
          <w:b w:val="0"/>
        </w:rPr>
        <w:t>Practise for ADRE and Assam government exams with questions, explanations, and preparation tools in English and Assamese.</w:t>
      </w:r>
    </w:p>
    <w:p>
      <w:r>
        <w:rPr>
          <w:b w:val="0"/>
        </w:rPr>
        <w:t>Primary action: Start practising. Secondary action: Explore the tools.</w:t>
      </w:r>
    </w:p>
    <w:p>
      <w:pPr>
        <w:pStyle w:val="Heading2"/>
      </w:pPr>
      <w:r>
        <w:t>About AxomRank</w:t>
      </w:r>
    </w:p>
    <w:p>
      <w:r>
        <w:rPr>
          <w:b w:val="0"/>
        </w:rPr>
        <w:t>AxomRank is an exam-preparation platform for Assam's government-job aspirants. We bring mock tests, previous-year questions, topic practice, and preparation tools into one recognisable learning experience. Our focus is on helping students attempt questions, understand mistakes, and decide what to practise next. The Rang Ghar mark reflects our Assamese identity, while our English and Assamese content helps students learn in the language they can use confidently.</w:t>
      </w:r>
    </w:p>
    <w:p>
      <w:pPr>
        <w:pStyle w:val="Heading2"/>
      </w:pPr>
      <w:r>
        <w:t>Instagram bio</w:t>
      </w:r>
    </w:p>
    <w:p>
      <w:r>
        <w:rPr>
          <w:b w:val="0"/>
        </w:rPr>
        <w:t>ADRE and Assam exam practice</w:t>
        <w:br/>
        <w:t>Questions, mocks and Assam GK</w:t>
        <w:br/>
        <w:t>English and Assamese</w:t>
        <w:br/>
        <w:t>Start practising below</w:t>
      </w:r>
    </w:p>
    <w:p>
      <w:pPr>
        <w:pStyle w:val="Heading2"/>
      </w:pPr>
      <w:r>
        <w:t>Short brand description</w:t>
      </w:r>
    </w:p>
    <w:p>
      <w:r>
        <w:rPr>
          <w:b w:val="0"/>
        </w:rPr>
        <w:t>AxomRank helps Assam's exam aspirants practise regularly, understand their mistakes, and choose their next study step.</w:t>
      </w:r>
    </w:p>
    <w:p>
      <w:pPr>
        <w:pStyle w:val="Heading2"/>
      </w:pPr>
      <w:r>
        <w:t>An answer explanation</w:t>
      </w:r>
    </w:p>
    <w:p>
      <w:r>
        <w:rPr>
          <w:b w:val="0"/>
        </w:rPr>
        <w:t>The correct answer is C. The second percentage is calculated on the new value. Start at 100: a 20% increase gives 120, and a 20% decrease then gives 96. Save the method and try another percentage question.</w:t>
      </w:r>
    </w:p>
    <w:p>
      <w:pPr>
        <w:pStyle w:val="Heading2"/>
      </w:pPr>
      <w:r>
        <w:t>A mock invitation</w:t>
      </w:r>
    </w:p>
    <w:p>
      <w:r>
        <w:rPr>
          <w:b w:val="0"/>
        </w:rPr>
        <w:t>Set aside time for your next mock. Attempt the questions first, review the explanations, and choose one weak topic for tomorrow's session. See the available tests on AxomRank.</w:t>
      </w:r>
    </w:p>
    <w:p>
      <w:pPr>
        <w:pStyle w:val="Heading2"/>
      </w:pPr>
      <w:r>
        <w:t>A product invitation</w:t>
      </w:r>
    </w:p>
    <w:p>
      <w:r>
        <w:rPr>
          <w:b w:val="0"/>
        </w:rPr>
        <w:t>See how AxomRank fits your preparation. Explore the available practice options and review the current access details before choosing a plan.</w:t>
      </w:r>
    </w:p>
    <w:p>
      <w:pPr>
        <w:pStyle w:val="Heading2"/>
      </w:pPr>
      <w:r>
        <w:t>A correction message</w:t>
      </w:r>
    </w:p>
    <w:p>
      <w:r>
        <w:rPr>
          <w:b w:val="0"/>
        </w:rPr>
        <w:t>We corrected the answer in this post. The correct option is B, and the explanation has been updated. Thank you for pointing it out. Please use the corrected version for revision.</w:t>
      </w:r>
    </w:p>
    <w:p>
      <w:r>
        <w:br w:type="page"/>
      </w:r>
    </w:p>
    <w:p>
      <w:pPr>
        <w:pStyle w:val="Heading1"/>
      </w:pPr>
      <w:r>
        <w:t>Brand consistency and implementation</w:t>
      </w:r>
    </w:p>
    <w:p>
      <w:pPr>
        <w:pStyle w:val="Heading2"/>
      </w:pPr>
      <w:r>
        <w:t>Establish the essentials</w:t>
      </w:r>
    </w:p>
    <w:p>
      <w:r>
        <w:rPr>
          <w:b w:val="0"/>
        </w:rPr>
        <w:t>Keep one master logo asset, the colour values in this guide, the agreed product names, and the established tagline together. Use them when updating bios, site headers, product pages, and design templates. Resolve mismatched support details and examination-cycle wording before promoting the page.</w:t>
      </w:r>
    </w:p>
    <w:p>
      <w:pPr>
        <w:pStyle w:val="Heading2"/>
      </w:pPr>
      <w:r>
        <w:t>Create the reusable templates</w:t>
      </w:r>
    </w:p>
    <w:p>
      <w:r>
        <w:rPr>
          <w:b w:val="0"/>
        </w:rPr>
        <w:t>Prepare templates for a question, an answer explanation, an exam notice, a product demonstration, and a mock review. Keep the same headline position, mark placement, text scale, and footer. Give each template enough space for Assamese text without making the type smaller.</w:t>
      </w:r>
    </w:p>
    <w:p>
      <w:pPr>
        <w:pStyle w:val="Heading2"/>
      </w:pPr>
      <w:r>
        <w:t>Review before publication</w:t>
      </w:r>
    </w:p>
    <w:p>
      <w:r>
        <w:rPr>
          <w:b w:val="0"/>
        </w:rPr>
        <w:t>Check the question and answer together. Confirm dates and rules against the relevant official notice. Read the copy in the language being published. Check the finished design on a phone, open the destination link, and verify any product price or access claim. Use genuine evidence when a post presents a student result.</w:t>
      </w:r>
    </w:p>
    <w:p>
      <w:pPr>
        <w:pStyle w:val="Heading2"/>
      </w:pPr>
      <w:r>
        <w:t>Maintain the identity</w:t>
      </w:r>
    </w:p>
    <w:p>
      <w:r>
        <w:rPr>
          <w:b w:val="0"/>
        </w:rPr>
        <w:t>Keep the latest templates and approved copy in one shared location. Record corrected content so it does not reappear in a later post. Review site and social pages together when a product changes. A new feature should inherit the existing visual and language system.</w:t>
      </w:r>
    </w:p>
    <w:p>
      <w:pPr>
        <w:pStyle w:val="Heading2"/>
      </w:pPr>
      <w:r>
        <w:t>Measure whether the brand is working</w:t>
      </w:r>
    </w:p>
    <w:p>
      <w:r>
        <w:rPr>
          <w:b w:val="0"/>
        </w:rPr>
        <w:t>Look for more students starting practice, completing mocks, and returning for another session. Review which explanations receive useful questions and which links lead to actual practice. Use these observations to improve the product and the content together.</w:t>
      </w:r>
    </w:p>
    <w:p>
      <w:pPr>
        <w:pStyle w:val="Heading2"/>
      </w:pPr>
      <w:r>
        <w:t>Source material</w:t>
      </w:r>
    </w:p>
    <w:p>
      <w:r>
        <w:rPr>
          <w:b w:val="0"/>
        </w:rPr>
        <w:t>AxomRank Social Media and Brand Strategy, September 2026. Supplied PDF, with particular reference to positioning, domain roles, Assamese identity, content pillars, conversion, and trust standards.</w:t>
      </w:r>
    </w:p>
    <w:p>
      <w:r>
        <w:rPr>
          <w:b w:val="0"/>
        </w:rPr>
        <w:t>Supplied logo artwork, logo-2.jpg. Rang Ghar illustration used on the opening page and as the reference for logo guidance.</w:t>
      </w:r>
    </w:p>
    <w:p>
      <w:r>
        <w:rPr>
          <w:b w:val="0"/>
        </w:rPr>
        <w:t>The colour specifications, typography starting sizes, copy library, and application rules in this guide define the proposed AxomRank identity system.</w:t>
      </w:r>
    </w:p>
    <w:sectPr w:rsidR="00FC693F" w:rsidRPr="0006063C" w:rsidSect="00034616">
      <w:footerReference w:type="default" r:id="rId9"/>
      <w:pgSz w:w="12240" w:h="15840"/>
      <w:pgMar w:top="1037" w:right="1152" w:bottom="936" w:left="1152"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AXOMRANK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Noto Sans Bengal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eastAsia="Noto Sans Bengal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Noto Sans Bengal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Bengal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Noto Sans Bengal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Noto Sans Bengal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AxomRank Brand Identity Guide</dc:title>
  <dc:subject>Positioning voice visual identity and brand applications</dc:subject>
  <dc:creator>AxomRank</dc:creator>
  <cp:keywords/>
  <dc:description>generated by python-docx</dc:description>
  <cp:lastModifiedBy/>
  <cp:revision>1</cp:revision>
  <dcterms:created xsi:type="dcterms:W3CDTF">2013-12-23T23:15:00Z</dcterms:created>
  <dcterms:modified xsi:type="dcterms:W3CDTF">2013-12-23T23:15:00Z</dcterms:modified>
  <cp:category/>
</cp:coreProperties>
</file>