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AxomRank Instagram Content Strategy for Assam</w:t>
      </w:r>
    </w:p>
    <w:p>
      <w:pPr>
        <w:pStyle w:val="Subtitle"/>
      </w:pPr>
      <w:r>
        <w:t>An account plan for recognition trust and regular practice</w:t>
      </w:r>
    </w:p>
    <w:p>
      <w:pPr>
        <w:jc w:val="center"/>
      </w:pPr>
      <w:r>
        <w:drawing>
          <wp:inline xmlns:a="http://schemas.openxmlformats.org/drawingml/2006/main" xmlns:pic="http://schemas.openxmlformats.org/drawingml/2006/picture">
            <wp:extent cx="4023360" cy="2682240"/>
            <wp:docPr id="1" name="Picture 1" descr="AxomRank Rang Ghar brand artwork"/>
            <wp:cNvGraphicFramePr>
              <a:graphicFrameLocks noChangeAspect="1"/>
            </wp:cNvGraphicFramePr>
            <a:graphic>
              <a:graphicData uri="http://schemas.openxmlformats.org/drawingml/2006/picture">
                <pic:pic>
                  <pic:nvPicPr>
                    <pic:cNvPr id="0" name="02-logo-2.jpg"/>
                    <pic:cNvPicPr/>
                  </pic:nvPicPr>
                  <pic:blipFill>
                    <a:blip r:embed="rId10"/>
                    <a:stretch>
                      <a:fillRect/>
                    </a:stretch>
                  </pic:blipFill>
                  <pic:spPr>
                    <a:xfrm>
                      <a:off x="0" y="0"/>
                      <a:ext cx="4023360" cy="2682240"/>
                    </a:xfrm>
                    <a:prstGeom prst="rect"/>
                  </pic:spPr>
                </pic:pic>
              </a:graphicData>
            </a:graphic>
          </wp:inline>
        </w:drawing>
      </w:r>
    </w:p>
    <w:p>
      <w:pPr>
        <w:jc w:val="center"/>
      </w:pPr>
      <w:r>
        <w:rPr>
          <w:b/>
        </w:rPr>
        <w:t>Rooted in Assam. Rising with You.</w:t>
      </w:r>
    </w:p>
    <w:p>
      <w:r>
        <w:rPr>
          <w:b w:val="0"/>
        </w:rPr>
        <w:t>AxomRank can become a page that Assam's aspirants recognise as their own: familiar in its stories, useful in its teaching, and respectful of the lives around preparation. The strongest connection will come from showing those lives accurately and helping students take a small, worthwhile step.</w:t>
      </w:r>
    </w:p>
    <w:p>
      <w:r>
        <w:rPr>
          <w:b w:val="0"/>
        </w:rPr>
        <w:t>The strategy is to connect a recognisable moment with a useful action. A student studying after work can lead to a short practice plan. A local landmark can lead to an Assam GK question. A low mock score can lead to an explanation that makes the next session clearer.</w:t>
      </w:r>
    </w:p>
    <w:p>
      <w:r>
        <w:rPr>
          <w:b w:val="0"/>
        </w:rPr>
        <w:t>Use the account's existing “Rooted in Assam. Rising with You.” line as the emotional campaign signature. Keep “Prepare Smarter. Rank Higher.” as the established product tagline. Allocate 50% of feed posts to discovery, 30% to trust and evaluation, and 20% to conversion. The stories earn attention; the learning experience earns the return visit.</w:t>
      </w:r>
    </w:p>
    <w:p>
      <w:r>
        <w:rPr>
          <w:b w:val="0"/>
          <w:sz w:val="18"/>
        </w:rPr>
        <w:t>Account reviewed from the supplied screenshot: @axomrank_1. Planning date: 9 October 2026.</w:t>
      </w:r>
    </w:p>
    <w:p>
      <w:r>
        <w:br w:type="page"/>
      </w:r>
    </w:p>
    <w:p>
      <w:pPr>
        <w:pStyle w:val="Heading1"/>
      </w:pPr>
      <w:r>
        <w:t>What the account already communicates</w:t>
      </w:r>
    </w:p>
    <w:p>
      <w:r>
        <w:rPr>
          <w:b w:val="0"/>
        </w:rPr>
        <w:t>The screenshot shows @axomrank_1 with 51 followers and 64 following. Its visible grid includes a brand statement, a Jorhat creative, and an everyday cultural scene. These are snapshot observations, not live account analytics. They suggest a page already exploring Assamese belonging.</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6696"/>
      </w:tblGrid>
      <w:tr>
        <w:trPr>
          <w:tblHeader/>
        </w:trPr>
        <w:tc>
          <w:tcPr>
            <w:tcW w:type="dxa" w:w="3240"/>
            <w:vAlign w:val="center"/>
            <w:shd w:fill="292929"/>
            <w:tcMar>
              <w:top w:w="85" w:type="dxa"/>
              <w:bottom w:w="85" w:type="dxa"/>
              <w:left w:w="110" w:type="dxa"/>
              <w:right w:w="110" w:type="dxa"/>
            </w:tcMar>
          </w:tcPr>
          <w:p>
            <w:pPr>
              <w:spacing w:after="0" w:line="245" w:lineRule="auto"/>
            </w:pPr>
            <w:r>
              <w:rPr>
                <w:b/>
                <w:color w:val="FFFFFF"/>
                <w:sz w:val="20"/>
              </w:rPr>
              <w:t>Visible element</w:t>
            </w:r>
          </w:p>
        </w:tc>
        <w:tc>
          <w:tcPr>
            <w:tcW w:type="dxa" w:w="6696"/>
            <w:vAlign w:val="center"/>
            <w:shd w:fill="292929"/>
            <w:tcMar>
              <w:top w:w="85" w:type="dxa"/>
              <w:bottom w:w="85" w:type="dxa"/>
              <w:left w:w="110" w:type="dxa"/>
              <w:right w:w="110" w:type="dxa"/>
            </w:tcMar>
          </w:tcPr>
          <w:p>
            <w:pPr>
              <w:spacing w:after="0" w:line="245" w:lineRule="auto"/>
            </w:pPr>
            <w:r>
              <w:rPr>
                <w:b/>
                <w:color w:val="FFFFFF"/>
                <w:sz w:val="20"/>
              </w:rPr>
              <w:t>What to keep or change</w:t>
            </w:r>
          </w:p>
        </w:tc>
      </w:tr>
      <w:tr>
        <w:trPr>
          <w:cantSplit/>
        </w:trPr>
        <w:tc>
          <w:tcPr>
            <w:tcW w:type="dxa" w:w="3240"/>
            <w:vAlign w:val="center"/>
            <w:shd w:fill="FFFFFF"/>
            <w:tcMar>
              <w:top w:w="85" w:type="dxa"/>
              <w:bottom w:w="85" w:type="dxa"/>
              <w:left w:w="110" w:type="dxa"/>
              <w:right w:w="110" w:type="dxa"/>
            </w:tcMar>
          </w:tcPr>
          <w:p>
            <w:pPr>
              <w:spacing w:after="0" w:line="245" w:lineRule="auto"/>
            </w:pPr>
            <w:r>
              <w:rPr>
                <w:b w:val="0"/>
                <w:color w:val="000000"/>
                <w:sz w:val="20"/>
              </w:rPr>
              <w:t>Rang Ghar profile image</w:t>
            </w:r>
          </w:p>
        </w:tc>
        <w:tc>
          <w:tcPr>
            <w:tcW w:type="dxa" w:w="6696"/>
            <w:vAlign w:val="center"/>
            <w:shd w:fill="FFFFFF"/>
            <w:tcMar>
              <w:top w:w="85" w:type="dxa"/>
              <w:bottom w:w="85" w:type="dxa"/>
              <w:left w:w="110" w:type="dxa"/>
              <w:right w:w="110" w:type="dxa"/>
            </w:tcMar>
          </w:tcPr>
          <w:p>
            <w:pPr>
              <w:spacing w:after="0" w:line="245" w:lineRule="auto"/>
            </w:pPr>
            <w:r>
              <w:rPr>
                <w:b w:val="0"/>
                <w:color w:val="000000"/>
                <w:sz w:val="20"/>
              </w:rPr>
              <w:t>Keep the local recognition. Test legibility at the small profile size.</w:t>
            </w:r>
          </w:p>
        </w:tc>
      </w:tr>
      <w:tr>
        <w:trPr>
          <w:cantSplit/>
        </w:trPr>
        <w:tc>
          <w:tcPr>
            <w:tcW w:type="dxa" w:w="3240"/>
            <w:vAlign w:val="center"/>
            <w:shd w:fill="F4F4F4"/>
            <w:tcMar>
              <w:top w:w="85" w:type="dxa"/>
              <w:bottom w:w="85" w:type="dxa"/>
              <w:left w:w="110" w:type="dxa"/>
              <w:right w:w="110" w:type="dxa"/>
            </w:tcMar>
          </w:tcPr>
          <w:p>
            <w:pPr>
              <w:spacing w:after="0" w:line="245" w:lineRule="auto"/>
            </w:pPr>
            <w:r>
              <w:rPr>
                <w:b w:val="0"/>
                <w:color w:val="000000"/>
                <w:sz w:val="20"/>
              </w:rPr>
              <w:t>Rooted in Assam creative</w:t>
            </w:r>
          </w:p>
        </w:tc>
        <w:tc>
          <w:tcPr>
            <w:tcW w:type="dxa" w:w="6696"/>
            <w:vAlign w:val="center"/>
            <w:shd w:fill="F4F4F4"/>
            <w:tcMar>
              <w:top w:w="85" w:type="dxa"/>
              <w:bottom w:w="85" w:type="dxa"/>
              <w:left w:w="110" w:type="dxa"/>
              <w:right w:w="110" w:type="dxa"/>
            </w:tcMar>
          </w:tcPr>
          <w:p>
            <w:pPr>
              <w:spacing w:after="0" w:line="245" w:lineRule="auto"/>
            </w:pPr>
            <w:r>
              <w:rPr>
                <w:b w:val="0"/>
                <w:color w:val="000000"/>
                <w:sz w:val="20"/>
              </w:rPr>
              <w:t>Keep this as the campaign signature and connect it to the preparation experience.</w:t>
            </w:r>
          </w:p>
        </w:tc>
      </w:tr>
      <w:tr>
        <w:trPr>
          <w:cantSplit/>
        </w:trPr>
        <w:tc>
          <w:tcPr>
            <w:tcW w:type="dxa" w:w="3240"/>
            <w:vAlign w:val="center"/>
            <w:shd w:fill="FFFFFF"/>
            <w:tcMar>
              <w:top w:w="85" w:type="dxa"/>
              <w:bottom w:w="85" w:type="dxa"/>
              <w:left w:w="110" w:type="dxa"/>
              <w:right w:w="110" w:type="dxa"/>
            </w:tcMar>
          </w:tcPr>
          <w:p>
            <w:pPr>
              <w:spacing w:after="0" w:line="245" w:lineRule="auto"/>
            </w:pPr>
            <w:r>
              <w:rPr>
                <w:b w:val="0"/>
                <w:color w:val="000000"/>
                <w:sz w:val="20"/>
              </w:rPr>
              <w:t>Jorhat and everyday-life posts</w:t>
            </w:r>
          </w:p>
        </w:tc>
        <w:tc>
          <w:tcPr>
            <w:tcW w:type="dxa" w:w="6696"/>
            <w:vAlign w:val="center"/>
            <w:shd w:fill="FFFFFF"/>
            <w:tcMar>
              <w:top w:w="85" w:type="dxa"/>
              <w:bottom w:w="85" w:type="dxa"/>
              <w:left w:w="110" w:type="dxa"/>
              <w:right w:w="110" w:type="dxa"/>
            </w:tcMar>
          </w:tcPr>
          <w:p>
            <w:pPr>
              <w:spacing w:after="0" w:line="245" w:lineRule="auto"/>
            </w:pPr>
            <w:r>
              <w:rPr>
                <w:b w:val="0"/>
                <w:color w:val="000000"/>
                <w:sz w:val="20"/>
              </w:rPr>
              <w:t>Give each a consistent series identity and a relevant learning or conversation prompt.</w:t>
            </w:r>
          </w:p>
        </w:tc>
      </w:tr>
      <w:tr>
        <w:trPr>
          <w:cantSplit/>
        </w:trPr>
        <w:tc>
          <w:tcPr>
            <w:tcW w:type="dxa" w:w="3240"/>
            <w:vAlign w:val="center"/>
            <w:shd w:fill="F4F4F4"/>
            <w:tcMar>
              <w:top w:w="85" w:type="dxa"/>
              <w:bottom w:w="85" w:type="dxa"/>
              <w:left w:w="110" w:type="dxa"/>
              <w:right w:w="110" w:type="dxa"/>
            </w:tcMar>
          </w:tcPr>
          <w:p>
            <w:pPr>
              <w:spacing w:after="0" w:line="245" w:lineRule="auto"/>
            </w:pPr>
            <w:r>
              <w:rPr>
                <w:b w:val="0"/>
                <w:color w:val="000000"/>
                <w:sz w:val="20"/>
              </w:rPr>
              <w:t>Bio about cracking a government exam</w:t>
            </w:r>
          </w:p>
        </w:tc>
        <w:tc>
          <w:tcPr>
            <w:tcW w:type="dxa" w:w="6696"/>
            <w:vAlign w:val="center"/>
            <w:shd w:fill="F4F4F4"/>
            <w:tcMar>
              <w:top w:w="85" w:type="dxa"/>
              <w:bottom w:w="85" w:type="dxa"/>
              <w:left w:w="110" w:type="dxa"/>
              <w:right w:w="110" w:type="dxa"/>
            </w:tcMar>
          </w:tcPr>
          <w:p>
            <w:pPr>
              <w:spacing w:after="0" w:line="245" w:lineRule="auto"/>
            </w:pPr>
            <w:r>
              <w:rPr>
                <w:b w:val="0"/>
                <w:color w:val="000000"/>
                <w:sz w:val="20"/>
              </w:rPr>
              <w:t>Use a clearer description of the questions, mocks, language, and next action.</w:t>
            </w:r>
          </w:p>
        </w:tc>
      </w:tr>
      <w:tr>
        <w:trPr>
          <w:cantSplit/>
        </w:trPr>
        <w:tc>
          <w:tcPr>
            <w:tcW w:type="dxa" w:w="3240"/>
            <w:vAlign w:val="center"/>
            <w:shd w:fill="FFFFFF"/>
            <w:tcMar>
              <w:top w:w="85" w:type="dxa"/>
              <w:bottom w:w="85" w:type="dxa"/>
              <w:left w:w="110" w:type="dxa"/>
              <w:right w:w="110" w:type="dxa"/>
            </w:tcMar>
          </w:tcPr>
          <w:p>
            <w:pPr>
              <w:spacing w:after="0" w:line="245" w:lineRule="auto"/>
            </w:pPr>
            <w:r>
              <w:rPr>
                <w:b w:val="0"/>
                <w:color w:val="000000"/>
                <w:sz w:val="20"/>
              </w:rPr>
              <w:t>Sankari and I love Assam highlights</w:t>
            </w:r>
          </w:p>
        </w:tc>
        <w:tc>
          <w:tcPr>
            <w:tcW w:type="dxa" w:w="6696"/>
            <w:vAlign w:val="center"/>
            <w:shd w:fill="FFFFFF"/>
            <w:tcMar>
              <w:top w:w="85" w:type="dxa"/>
              <w:bottom w:w="85" w:type="dxa"/>
              <w:left w:w="110" w:type="dxa"/>
              <w:right w:w="110" w:type="dxa"/>
            </w:tcMar>
          </w:tcPr>
          <w:p>
            <w:pPr>
              <w:spacing w:after="0" w:line="245" w:lineRule="auto"/>
            </w:pPr>
            <w:r>
              <w:rPr>
                <w:b w:val="0"/>
                <w:color w:val="000000"/>
                <w:sz w:val="20"/>
              </w:rPr>
              <w:t>Retain relevant cultural material and place it within a clearer highlight structure.</w:t>
            </w:r>
          </w:p>
        </w:tc>
      </w:tr>
      <w:tr>
        <w:trPr>
          <w:cantSplit/>
        </w:trPr>
        <w:tc>
          <w:tcPr>
            <w:tcW w:type="dxa" w:w="3240"/>
            <w:vAlign w:val="center"/>
            <w:shd w:fill="F4F4F4"/>
            <w:tcMar>
              <w:top w:w="85" w:type="dxa"/>
              <w:bottom w:w="85" w:type="dxa"/>
              <w:left w:w="110" w:type="dxa"/>
              <w:right w:w="110" w:type="dxa"/>
            </w:tcMar>
          </w:tcPr>
          <w:p>
            <w:pPr>
              <w:spacing w:after="0" w:line="245" w:lineRule="auto"/>
            </w:pPr>
            <w:r>
              <w:rPr>
                <w:b w:val="0"/>
                <w:color w:val="000000"/>
                <w:sz w:val="20"/>
              </w:rPr>
              <w:t>VibeCoders highlight</w:t>
            </w:r>
          </w:p>
        </w:tc>
        <w:tc>
          <w:tcPr>
            <w:tcW w:type="dxa" w:w="6696"/>
            <w:vAlign w:val="center"/>
            <w:shd w:fill="F4F4F4"/>
            <w:tcMar>
              <w:top w:w="85" w:type="dxa"/>
              <w:bottom w:w="85" w:type="dxa"/>
              <w:left w:w="110" w:type="dxa"/>
              <w:right w:w="110" w:type="dxa"/>
            </w:tcMar>
          </w:tcPr>
          <w:p>
            <w:pPr>
              <w:spacing w:after="0" w:line="245" w:lineRule="auto"/>
            </w:pPr>
            <w:r>
              <w:rPr>
                <w:b w:val="0"/>
                <w:color w:val="000000"/>
                <w:sz w:val="20"/>
              </w:rPr>
              <w:t>If it does not help aspirants understand or use AxomRank, archive or move it to the creator's personal account.</w:t>
            </w:r>
          </w:p>
        </w:tc>
      </w:tr>
    </w:tbl>
    <w:p>
      <w:pPr>
        <w:spacing w:after="0"/>
      </w:pPr>
    </w:p>
    <w:p>
      <w:pPr>
        <w:pStyle w:val="Heading2"/>
      </w:pPr>
      <w:r>
        <w:t>The account should answer three questions immediately</w:t>
      </w:r>
    </w:p>
    <w:p>
      <w:r>
        <w:rPr>
          <w:b w:val="0"/>
        </w:rPr>
        <w:t>Who is this for? Assam's exam aspirants. What will I find? Relatable student stories, clear practice, and Assam knowledge. What can I do now? Attempt a question or start a practice session through the profile link.</w:t>
      </w:r>
    </w:p>
    <w:p>
      <w:pPr>
        <w:pStyle w:val="Heading2"/>
      </w:pPr>
      <w:r>
        <w:t>The first changes</w:t>
      </w:r>
    </w:p>
    <w:p>
      <w:r>
        <w:rPr>
          <w:b w:val="0"/>
        </w:rPr>
        <w:t>Keep the handle unless there is a clear reason to change it. Use the display name “AxomRank | ADRE and Assam Exams”. Rewrite the bio, add one tested practice link, and pin a welcome post, a useful lesson, and a real product demonstration.</w:t>
      </w:r>
    </w:p>
    <w:p>
      <w:pPr>
        <w:pStyle w:val="Heading2"/>
      </w:pPr>
      <w:r>
        <w:t>The profile should explain the feed</w:t>
      </w:r>
    </w:p>
    <w:p>
      <w:r>
        <w:rPr>
          <w:b w:val="0"/>
        </w:rPr>
        <w:t>A cultural visitor should understand why exam practice belongs here. An exam aspirant should understand why local stories belong here. Both should see the same relationship: our place, our daily lives, and the preparation we are doing within them.</w:t>
      </w:r>
    </w:p>
    <w:p>
      <w:r>
        <w:br w:type="page"/>
      </w:r>
    </w:p>
    <w:p>
      <w:pPr>
        <w:pStyle w:val="Heading1"/>
      </w:pPr>
      <w:r>
        <w:t>The people and feelings behind the content</w:t>
      </w:r>
    </w:p>
    <w:p>
      <w:pPr>
        <w:pStyle w:val="Heading2"/>
      </w:pPr>
      <w:r>
        <w:t>Build around lived situations</w:t>
      </w:r>
    </w:p>
    <w:p>
      <w:r>
        <w:rPr>
          <w:b w:val="0"/>
        </w:rPr>
        <w:t>Listen to aspirants studying around jobs, college, household duties, and limited quiet time. Also listen to people who are new to preparation and those who have taken an exam before. Ask about a real recent study session rather than asking whether they want to succeed.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84"/>
        <w:gridCol w:w="6552"/>
      </w:tblGrid>
      <w:tr>
        <w:trPr>
          <w:tblHeader/>
        </w:trPr>
        <w:tc>
          <w:tcPr>
            <w:tcW w:type="dxa" w:w="3384"/>
            <w:vAlign w:val="center"/>
            <w:shd w:fill="292929"/>
            <w:tcMar>
              <w:top w:w="85" w:type="dxa"/>
              <w:bottom w:w="85" w:type="dxa"/>
              <w:left w:w="110" w:type="dxa"/>
              <w:right w:w="110" w:type="dxa"/>
            </w:tcMar>
          </w:tcPr>
          <w:p>
            <w:pPr>
              <w:spacing w:after="0" w:line="245" w:lineRule="auto"/>
            </w:pPr>
            <w:r>
              <w:rPr>
                <w:b/>
                <w:color w:val="FFFFFF"/>
                <w:sz w:val="20"/>
              </w:rPr>
              <w:t>Situation</w:t>
            </w:r>
          </w:p>
        </w:tc>
        <w:tc>
          <w:tcPr>
            <w:tcW w:type="dxa" w:w="6552"/>
            <w:vAlign w:val="center"/>
            <w:shd w:fill="292929"/>
            <w:tcMar>
              <w:top w:w="85" w:type="dxa"/>
              <w:bottom w:w="85" w:type="dxa"/>
              <w:left w:w="110" w:type="dxa"/>
              <w:right w:w="110" w:type="dxa"/>
            </w:tcMar>
          </w:tcPr>
          <w:p>
            <w:pPr>
              <w:spacing w:after="0" w:line="245" w:lineRule="auto"/>
            </w:pPr>
            <w:r>
              <w:rPr>
                <w:b/>
                <w:color w:val="FFFFFF"/>
                <w:sz w:val="20"/>
              </w:rPr>
              <w:t>Content opportunity</w:t>
            </w:r>
          </w:p>
        </w:tc>
      </w:tr>
      <w:tr>
        <w:trPr>
          <w:cantSplit/>
        </w:trPr>
        <w:tc>
          <w:tcPr>
            <w:tcW w:type="dxa" w:w="3384"/>
            <w:vAlign w:val="center"/>
            <w:shd w:fill="FFFFFF"/>
            <w:tcMar>
              <w:top w:w="85" w:type="dxa"/>
              <w:bottom w:w="85" w:type="dxa"/>
              <w:left w:w="110" w:type="dxa"/>
              <w:right w:w="110" w:type="dxa"/>
            </w:tcMar>
          </w:tcPr>
          <w:p>
            <w:pPr>
              <w:spacing w:after="0" w:line="245" w:lineRule="auto"/>
            </w:pPr>
            <w:r>
              <w:rPr>
                <w:b w:val="0"/>
                <w:color w:val="000000"/>
                <w:sz w:val="20"/>
              </w:rPr>
              <w:t>A short evening study window</w:t>
            </w:r>
          </w:p>
        </w:tc>
        <w:tc>
          <w:tcPr>
            <w:tcW w:type="dxa" w:w="6552"/>
            <w:vAlign w:val="center"/>
            <w:shd w:fill="FFFFFF"/>
            <w:tcMar>
              <w:top w:w="85" w:type="dxa"/>
              <w:bottom w:w="85" w:type="dxa"/>
              <w:left w:w="110" w:type="dxa"/>
              <w:right w:w="110" w:type="dxa"/>
            </w:tcMar>
          </w:tcPr>
          <w:p>
            <w:pPr>
              <w:spacing w:after="0" w:line="245" w:lineRule="auto"/>
            </w:pPr>
            <w:r>
              <w:rPr>
                <w:b w:val="0"/>
                <w:color w:val="000000"/>
                <w:sz w:val="20"/>
              </w:rPr>
              <w:t>A 20-minute task and a realistic study scene.</w:t>
            </w:r>
          </w:p>
        </w:tc>
      </w:tr>
      <w:tr>
        <w:trPr>
          <w:cantSplit/>
        </w:trPr>
        <w:tc>
          <w:tcPr>
            <w:tcW w:type="dxa" w:w="3384"/>
            <w:vAlign w:val="center"/>
            <w:shd w:fill="F4F4F4"/>
            <w:tcMar>
              <w:top w:w="85" w:type="dxa"/>
              <w:bottom w:w="85" w:type="dxa"/>
              <w:left w:w="110" w:type="dxa"/>
              <w:right w:w="110" w:type="dxa"/>
            </w:tcMar>
          </w:tcPr>
          <w:p>
            <w:pPr>
              <w:spacing w:after="0" w:line="245" w:lineRule="auto"/>
            </w:pPr>
            <w:r>
              <w:rPr>
                <w:b w:val="0"/>
                <w:color w:val="000000"/>
                <w:sz w:val="20"/>
              </w:rPr>
              <w:t>Unsure what to revise first</w:t>
            </w:r>
          </w:p>
        </w:tc>
        <w:tc>
          <w:tcPr>
            <w:tcW w:type="dxa" w:w="6552"/>
            <w:vAlign w:val="center"/>
            <w:shd w:fill="F4F4F4"/>
            <w:tcMar>
              <w:top w:w="85" w:type="dxa"/>
              <w:bottom w:w="85" w:type="dxa"/>
              <w:left w:w="110" w:type="dxa"/>
              <w:right w:w="110" w:type="dxa"/>
            </w:tcMar>
          </w:tcPr>
          <w:p>
            <w:pPr>
              <w:spacing w:after="0" w:line="245" w:lineRule="auto"/>
            </w:pPr>
            <w:r>
              <w:rPr>
                <w:b w:val="0"/>
                <w:color w:val="000000"/>
                <w:sz w:val="20"/>
              </w:rPr>
              <w:t>A short diagnostic quiz with a clear explanation.</w:t>
            </w:r>
          </w:p>
        </w:tc>
      </w:tr>
      <w:tr>
        <w:trPr>
          <w:cantSplit/>
        </w:trPr>
        <w:tc>
          <w:tcPr>
            <w:tcW w:type="dxa" w:w="3384"/>
            <w:vAlign w:val="center"/>
            <w:shd w:fill="FFFFFF"/>
            <w:tcMar>
              <w:top w:w="85" w:type="dxa"/>
              <w:bottom w:w="85" w:type="dxa"/>
              <w:left w:w="110" w:type="dxa"/>
              <w:right w:w="110" w:type="dxa"/>
            </w:tcMar>
          </w:tcPr>
          <w:p>
            <w:pPr>
              <w:spacing w:after="0" w:line="245" w:lineRule="auto"/>
            </w:pPr>
            <w:r>
              <w:rPr>
                <w:b w:val="0"/>
                <w:color w:val="000000"/>
                <w:sz w:val="20"/>
              </w:rPr>
              <w:t>Embarrassed by a low score</w:t>
            </w:r>
          </w:p>
        </w:tc>
        <w:tc>
          <w:tcPr>
            <w:tcW w:type="dxa" w:w="6552"/>
            <w:vAlign w:val="center"/>
            <w:shd w:fill="FFFFFF"/>
            <w:tcMar>
              <w:top w:w="85" w:type="dxa"/>
              <w:bottom w:w="85" w:type="dxa"/>
              <w:left w:w="110" w:type="dxa"/>
              <w:right w:w="110" w:type="dxa"/>
            </w:tcMar>
          </w:tcPr>
          <w:p>
            <w:pPr>
              <w:spacing w:after="0" w:line="245" w:lineRule="auto"/>
            </w:pPr>
            <w:r>
              <w:rPr>
                <w:b w:val="0"/>
                <w:color w:val="000000"/>
                <w:sz w:val="20"/>
              </w:rPr>
              <w:t>A calm mistake-review example with no public shaming.</w:t>
            </w:r>
          </w:p>
        </w:tc>
      </w:tr>
      <w:tr>
        <w:trPr>
          <w:cantSplit/>
        </w:trPr>
        <w:tc>
          <w:tcPr>
            <w:tcW w:type="dxa" w:w="3384"/>
            <w:vAlign w:val="center"/>
            <w:shd w:fill="F4F4F4"/>
            <w:tcMar>
              <w:top w:w="85" w:type="dxa"/>
              <w:bottom w:w="85" w:type="dxa"/>
              <w:left w:w="110" w:type="dxa"/>
              <w:right w:w="110" w:type="dxa"/>
            </w:tcMar>
          </w:tcPr>
          <w:p>
            <w:pPr>
              <w:spacing w:after="0" w:line="245" w:lineRule="auto"/>
            </w:pPr>
            <w:r>
              <w:rPr>
                <w:b w:val="0"/>
                <w:color w:val="000000"/>
                <w:sz w:val="20"/>
              </w:rPr>
              <w:t>More comfortable in Assamese</w:t>
            </w:r>
          </w:p>
        </w:tc>
        <w:tc>
          <w:tcPr>
            <w:tcW w:type="dxa" w:w="6552"/>
            <w:vAlign w:val="center"/>
            <w:shd w:fill="F4F4F4"/>
            <w:tcMar>
              <w:top w:w="85" w:type="dxa"/>
              <w:bottom w:w="85" w:type="dxa"/>
              <w:left w:w="110" w:type="dxa"/>
              <w:right w:w="110" w:type="dxa"/>
            </w:tcMar>
          </w:tcPr>
          <w:p>
            <w:pPr>
              <w:spacing w:after="0" w:line="245" w:lineRule="auto"/>
            </w:pPr>
            <w:r>
              <w:rPr>
                <w:b w:val="0"/>
                <w:color w:val="000000"/>
                <w:sz w:val="20"/>
              </w:rPr>
              <w:t>A complete explanation in Assamese with readable captions.</w:t>
            </w:r>
          </w:p>
        </w:tc>
      </w:tr>
      <w:tr>
        <w:trPr>
          <w:cantSplit/>
        </w:trPr>
        <w:tc>
          <w:tcPr>
            <w:tcW w:type="dxa" w:w="3384"/>
            <w:vAlign w:val="center"/>
            <w:shd w:fill="FFFFFF"/>
            <w:tcMar>
              <w:top w:w="85" w:type="dxa"/>
              <w:bottom w:w="85" w:type="dxa"/>
              <w:left w:w="110" w:type="dxa"/>
              <w:right w:w="110" w:type="dxa"/>
            </w:tcMar>
          </w:tcPr>
          <w:p>
            <w:pPr>
              <w:spacing w:after="0" w:line="245" w:lineRule="auto"/>
            </w:pPr>
            <w:r>
              <w:rPr>
                <w:b w:val="0"/>
                <w:color w:val="000000"/>
                <w:sz w:val="20"/>
              </w:rPr>
              <w:t>Attached to a town or village</w:t>
            </w:r>
          </w:p>
        </w:tc>
        <w:tc>
          <w:tcPr>
            <w:tcW w:type="dxa" w:w="6552"/>
            <w:vAlign w:val="center"/>
            <w:shd w:fill="FFFFFF"/>
            <w:tcMar>
              <w:top w:w="85" w:type="dxa"/>
              <w:bottom w:w="85" w:type="dxa"/>
              <w:left w:w="110" w:type="dxa"/>
              <w:right w:w="110" w:type="dxa"/>
            </w:tcMar>
          </w:tcPr>
          <w:p>
            <w:pPr>
              <w:spacing w:after="0" w:line="245" w:lineRule="auto"/>
            </w:pPr>
            <w:r>
              <w:rPr>
                <w:b w:val="0"/>
                <w:color w:val="000000"/>
                <w:sz w:val="20"/>
              </w:rPr>
              <w:t>A viewer-suggested local story linked to verified knowledge.</w:t>
            </w:r>
          </w:p>
        </w:tc>
      </w:tr>
    </w:tbl>
    <w:p>
      <w:pPr>
        <w:spacing w:after="0"/>
      </w:pPr>
    </w:p>
    <w:p>
      <w:pPr>
        <w:pStyle w:val="Heading2"/>
      </w:pPr>
      <w:r>
        <w:t>Treat Assam as many real places</w:t>
      </w:r>
    </w:p>
    <w:p>
      <w:r>
        <w:rPr>
          <w:b w:val="0"/>
        </w:rPr>
        <w:t>Rotate stories across the Brahmaputra Valley, Barak Valley, and hill areas as suitable contributors and sources become available. Include different occupations, genders, and study settings. A district name alone does not represent everyone living there.</w:t>
      </w:r>
    </w:p>
    <w:p>
      <w:r>
        <w:rPr>
          <w:b w:val="0"/>
        </w:rPr>
        <w:t>Use Assamese and English for the core learning experience. Invite contributors to bring their own language and context when a feature needs it, and caption it for the main audience. Avoid claiming to represent a community before someone from it has helped shape the story.</w:t>
      </w:r>
    </w:p>
    <w:p>
      <w:pPr>
        <w:pStyle w:val="Heading2"/>
      </w:pPr>
      <w:r>
        <w:t>Listen before producing a large campaign</w:t>
      </w:r>
    </w:p>
    <w:p>
      <w:r>
        <w:rPr>
          <w:b w:val="0"/>
        </w:rPr>
        <w:t>Begin with 8 to 12 short voluntary conversations. Ask: What interrupted your last study session? Which question confused you? What would make a preparation page useful to you this week? Record themes without publishing personal details.</w:t>
      </w:r>
    </w:p>
    <w:p>
      <w:pPr>
        <w:pStyle w:val="Heading2"/>
      </w:pPr>
      <w:r>
        <w:t>The emotional promise</w:t>
      </w:r>
    </w:p>
    <w:p>
      <w:r>
        <w:rPr>
          <w:b w:val="0"/>
        </w:rPr>
        <w:t>A visitor should feel recognised without having their struggles turned into entertainment. The next useful step should be small enough to attempt. Over time, the page should become a familiar place to learn and contribute.</w:t>
      </w:r>
    </w:p>
    <w:p>
      <w:r>
        <w:br w:type="page"/>
      </w:r>
    </w:p>
    <w:p>
      <w:pPr>
        <w:pStyle w:val="Heading1"/>
      </w:pPr>
      <w:r>
        <w:t>The funnel allocation</w:t>
      </w:r>
    </w:p>
    <w:p>
      <w:r>
        <w:rPr>
          <w:b w:val="0"/>
        </w:rPr>
        <w:t>Allocate feed content exactly as follows: 50% TOFU, 30% MOFU, and 20% BOFU. These are shares of posts, not advertising spend or reach. Use a 20-post cycle to keep the allocation exact: 10 TOFU, 6 MOFU, and 4 BOFU. Across three monthly cycles, publish 60 posts: 30 TOFU, 18 MOFU, and 12 BOFU.</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00"/>
        <w:gridCol w:w="792"/>
        <w:gridCol w:w="4968"/>
        <w:gridCol w:w="2376"/>
      </w:tblGrid>
      <w:tr>
        <w:trPr>
          <w:tblHeader/>
        </w:trPr>
        <w:tc>
          <w:tcPr>
            <w:tcW w:type="dxa" w:w="1800"/>
            <w:vAlign w:val="center"/>
            <w:shd w:fill="292929"/>
            <w:tcMar>
              <w:top w:w="85" w:type="dxa"/>
              <w:bottom w:w="85" w:type="dxa"/>
              <w:left w:w="110" w:type="dxa"/>
              <w:right w:w="110" w:type="dxa"/>
            </w:tcMar>
          </w:tcPr>
          <w:p>
            <w:pPr>
              <w:spacing w:after="0" w:line="245" w:lineRule="auto"/>
            </w:pPr>
            <w:r>
              <w:rPr>
                <w:b/>
                <w:color w:val="FFFFFF"/>
                <w:sz w:val="20"/>
              </w:rPr>
              <w:t>Stage</w:t>
            </w:r>
          </w:p>
        </w:tc>
        <w:tc>
          <w:tcPr>
            <w:tcW w:type="dxa" w:w="792"/>
            <w:vAlign w:val="center"/>
            <w:shd w:fill="292929"/>
            <w:tcMar>
              <w:top w:w="85" w:type="dxa"/>
              <w:bottom w:w="85" w:type="dxa"/>
              <w:left w:w="110" w:type="dxa"/>
              <w:right w:w="110" w:type="dxa"/>
            </w:tcMar>
          </w:tcPr>
          <w:p>
            <w:pPr>
              <w:spacing w:after="0" w:line="245" w:lineRule="auto"/>
            </w:pPr>
            <w:r>
              <w:rPr>
                <w:b/>
                <w:color w:val="FFFFFF"/>
                <w:sz w:val="20"/>
              </w:rPr>
              <w:t>Share</w:t>
            </w:r>
          </w:p>
        </w:tc>
        <w:tc>
          <w:tcPr>
            <w:tcW w:type="dxa" w:w="4968"/>
            <w:vAlign w:val="center"/>
            <w:shd w:fill="292929"/>
            <w:tcMar>
              <w:top w:w="85" w:type="dxa"/>
              <w:bottom w:w="85" w:type="dxa"/>
              <w:left w:w="110" w:type="dxa"/>
              <w:right w:w="110" w:type="dxa"/>
            </w:tcMar>
          </w:tcPr>
          <w:p>
            <w:pPr>
              <w:spacing w:after="0" w:line="245" w:lineRule="auto"/>
            </w:pPr>
            <w:r>
              <w:rPr>
                <w:b/>
                <w:color w:val="FFFFFF"/>
                <w:sz w:val="20"/>
              </w:rPr>
              <w:t>Job and content</w:t>
            </w:r>
          </w:p>
        </w:tc>
        <w:tc>
          <w:tcPr>
            <w:tcW w:type="dxa" w:w="2376"/>
            <w:vAlign w:val="center"/>
            <w:shd w:fill="292929"/>
            <w:tcMar>
              <w:top w:w="85" w:type="dxa"/>
              <w:bottom w:w="85" w:type="dxa"/>
              <w:left w:w="110" w:type="dxa"/>
              <w:right w:w="110" w:type="dxa"/>
            </w:tcMar>
          </w:tcPr>
          <w:p>
            <w:pPr>
              <w:spacing w:after="0" w:line="245" w:lineRule="auto"/>
            </w:pPr>
            <w:r>
              <w:rPr>
                <w:b/>
                <w:color w:val="FFFFFF"/>
                <w:sz w:val="20"/>
              </w:rPr>
              <w:t>Main CTA</w:t>
            </w:r>
          </w:p>
        </w:tc>
      </w:tr>
      <w:tr>
        <w:trPr>
          <w:cantSplit/>
        </w:trPr>
        <w:tc>
          <w:tcPr>
            <w:tcW w:type="dxa" w:w="1800"/>
            <w:vAlign w:val="center"/>
            <w:shd w:fill="FFFFFF"/>
            <w:tcMar>
              <w:top w:w="85" w:type="dxa"/>
              <w:bottom w:w="85" w:type="dxa"/>
              <w:left w:w="110" w:type="dxa"/>
              <w:right w:w="110" w:type="dxa"/>
            </w:tcMar>
          </w:tcPr>
          <w:p>
            <w:pPr>
              <w:spacing w:after="0" w:line="245" w:lineRule="auto"/>
            </w:pPr>
            <w:r>
              <w:rPr>
                <w:b w:val="0"/>
                <w:color w:val="000000"/>
                <w:sz w:val="20"/>
              </w:rPr>
              <w:t>TOFU</w:t>
              <w:br/>
              <w:t>Top of funnel</w:t>
            </w:r>
          </w:p>
        </w:tc>
        <w:tc>
          <w:tcPr>
            <w:tcW w:type="dxa" w:w="792"/>
            <w:vAlign w:val="center"/>
            <w:shd w:fill="FFFFFF"/>
            <w:tcMar>
              <w:top w:w="85" w:type="dxa"/>
              <w:bottom w:w="85" w:type="dxa"/>
              <w:left w:w="110" w:type="dxa"/>
              <w:right w:w="110" w:type="dxa"/>
            </w:tcMar>
          </w:tcPr>
          <w:p>
            <w:pPr>
              <w:spacing w:after="0" w:line="245" w:lineRule="auto"/>
            </w:pPr>
            <w:r>
              <w:rPr>
                <w:b w:val="0"/>
                <w:color w:val="000000"/>
                <w:sz w:val="20"/>
              </w:rPr>
              <w:t>50%</w:t>
            </w:r>
          </w:p>
        </w:tc>
        <w:tc>
          <w:tcPr>
            <w:tcW w:type="dxa" w:w="4968"/>
            <w:vAlign w:val="center"/>
            <w:shd w:fill="FFFFFF"/>
            <w:tcMar>
              <w:top w:w="85" w:type="dxa"/>
              <w:bottom w:w="85" w:type="dxa"/>
              <w:left w:w="110" w:type="dxa"/>
              <w:right w:w="110" w:type="dxa"/>
            </w:tcMar>
          </w:tcPr>
          <w:p>
            <w:pPr>
              <w:spacing w:after="0" w:line="245" w:lineRule="auto"/>
            </w:pPr>
            <w:r>
              <w:rPr>
                <w:b w:val="0"/>
                <w:color w:val="000000"/>
                <w:sz w:val="20"/>
              </w:rPr>
              <w:t>Reach people who do not know AxomRank. Aspirant-life scenes, local stories, and approachable questions.</w:t>
            </w:r>
          </w:p>
        </w:tc>
        <w:tc>
          <w:tcPr>
            <w:tcW w:type="dxa" w:w="2376"/>
            <w:vAlign w:val="center"/>
            <w:shd w:fill="FFFFFF"/>
            <w:tcMar>
              <w:top w:w="85" w:type="dxa"/>
              <w:bottom w:w="85" w:type="dxa"/>
              <w:left w:w="110" w:type="dxa"/>
              <w:right w:w="110" w:type="dxa"/>
            </w:tcMar>
          </w:tcPr>
          <w:p>
            <w:pPr>
              <w:spacing w:after="0" w:line="245" w:lineRule="auto"/>
            </w:pPr>
            <w:r>
              <w:rPr>
                <w:b w:val="0"/>
                <w:color w:val="000000"/>
                <w:sz w:val="20"/>
              </w:rPr>
              <w:t>Share a relatable story or follow the series.</w:t>
            </w:r>
          </w:p>
        </w:tc>
      </w:tr>
      <w:tr>
        <w:trPr>
          <w:cantSplit/>
        </w:trPr>
        <w:tc>
          <w:tcPr>
            <w:tcW w:type="dxa" w:w="1800"/>
            <w:vAlign w:val="center"/>
            <w:shd w:fill="F4F4F4"/>
            <w:tcMar>
              <w:top w:w="85" w:type="dxa"/>
              <w:bottom w:w="85" w:type="dxa"/>
              <w:left w:w="110" w:type="dxa"/>
              <w:right w:w="110" w:type="dxa"/>
            </w:tcMar>
          </w:tcPr>
          <w:p>
            <w:pPr>
              <w:spacing w:after="0" w:line="245" w:lineRule="auto"/>
            </w:pPr>
            <w:r>
              <w:rPr>
                <w:b w:val="0"/>
                <w:color w:val="000000"/>
                <w:sz w:val="20"/>
              </w:rPr>
              <w:t>MOFU</w:t>
              <w:br/>
              <w:t>Middle of funnel</w:t>
            </w:r>
          </w:p>
        </w:tc>
        <w:tc>
          <w:tcPr>
            <w:tcW w:type="dxa" w:w="792"/>
            <w:vAlign w:val="center"/>
            <w:shd w:fill="F4F4F4"/>
            <w:tcMar>
              <w:top w:w="85" w:type="dxa"/>
              <w:bottom w:w="85" w:type="dxa"/>
              <w:left w:w="110" w:type="dxa"/>
              <w:right w:w="110" w:type="dxa"/>
            </w:tcMar>
          </w:tcPr>
          <w:p>
            <w:pPr>
              <w:spacing w:after="0" w:line="245" w:lineRule="auto"/>
            </w:pPr>
            <w:r>
              <w:rPr>
                <w:b w:val="0"/>
                <w:color w:val="000000"/>
                <w:sz w:val="20"/>
              </w:rPr>
              <w:t>30%</w:t>
            </w:r>
          </w:p>
        </w:tc>
        <w:tc>
          <w:tcPr>
            <w:tcW w:type="dxa" w:w="4968"/>
            <w:vAlign w:val="center"/>
            <w:shd w:fill="F4F4F4"/>
            <w:tcMar>
              <w:top w:w="85" w:type="dxa"/>
              <w:bottom w:w="85" w:type="dxa"/>
              <w:left w:w="110" w:type="dxa"/>
              <w:right w:w="110" w:type="dxa"/>
            </w:tcMar>
          </w:tcPr>
          <w:p>
            <w:pPr>
              <w:spacing w:after="0" w:line="245" w:lineRule="auto"/>
            </w:pPr>
            <w:r>
              <w:rPr>
                <w:b w:val="0"/>
                <w:color w:val="000000"/>
                <w:sz w:val="20"/>
              </w:rPr>
              <w:t>Help interested viewers judge usefulness. Explanations, quizzes, genuine PYQs, mock reviews, and viewer-led lessons.</w:t>
            </w:r>
          </w:p>
        </w:tc>
        <w:tc>
          <w:tcPr>
            <w:tcW w:type="dxa" w:w="2376"/>
            <w:vAlign w:val="center"/>
            <w:shd w:fill="F4F4F4"/>
            <w:tcMar>
              <w:top w:w="85" w:type="dxa"/>
              <w:bottom w:w="85" w:type="dxa"/>
              <w:left w:w="110" w:type="dxa"/>
              <w:right w:w="110" w:type="dxa"/>
            </w:tcMar>
          </w:tcPr>
          <w:p>
            <w:pPr>
              <w:spacing w:after="0" w:line="245" w:lineRule="auto"/>
            </w:pPr>
            <w:r>
              <w:rPr>
                <w:b w:val="0"/>
                <w:color w:val="000000"/>
                <w:sz w:val="20"/>
              </w:rPr>
              <w:t>Attempt a short set or try a relevant tool.</w:t>
            </w:r>
          </w:p>
        </w:tc>
      </w:tr>
      <w:tr>
        <w:trPr>
          <w:cantSplit/>
        </w:trPr>
        <w:tc>
          <w:tcPr>
            <w:tcW w:type="dxa" w:w="1800"/>
            <w:vAlign w:val="center"/>
            <w:shd w:fill="FFFFFF"/>
            <w:tcMar>
              <w:top w:w="85" w:type="dxa"/>
              <w:bottom w:w="85" w:type="dxa"/>
              <w:left w:w="110" w:type="dxa"/>
              <w:right w:w="110" w:type="dxa"/>
            </w:tcMar>
          </w:tcPr>
          <w:p>
            <w:pPr>
              <w:spacing w:after="0" w:line="245" w:lineRule="auto"/>
            </w:pPr>
            <w:r>
              <w:rPr>
                <w:b w:val="0"/>
                <w:color w:val="000000"/>
                <w:sz w:val="20"/>
              </w:rPr>
              <w:t>BOFU</w:t>
              <w:br/>
              <w:t>Bottom of funnel</w:t>
            </w:r>
          </w:p>
        </w:tc>
        <w:tc>
          <w:tcPr>
            <w:tcW w:type="dxa" w:w="792"/>
            <w:vAlign w:val="center"/>
            <w:shd w:fill="FFFFFF"/>
            <w:tcMar>
              <w:top w:w="85" w:type="dxa"/>
              <w:bottom w:w="85" w:type="dxa"/>
              <w:left w:w="110" w:type="dxa"/>
              <w:right w:w="110" w:type="dxa"/>
            </w:tcMar>
          </w:tcPr>
          <w:p>
            <w:pPr>
              <w:spacing w:after="0" w:line="245" w:lineRule="auto"/>
            </w:pPr>
            <w:r>
              <w:rPr>
                <w:b w:val="0"/>
                <w:color w:val="000000"/>
                <w:sz w:val="20"/>
              </w:rPr>
              <w:t>20%</w:t>
            </w:r>
          </w:p>
        </w:tc>
        <w:tc>
          <w:tcPr>
            <w:tcW w:type="dxa" w:w="4968"/>
            <w:vAlign w:val="center"/>
            <w:shd w:fill="FFFFFF"/>
            <w:tcMar>
              <w:top w:w="85" w:type="dxa"/>
              <w:bottom w:w="85" w:type="dxa"/>
              <w:left w:w="110" w:type="dxa"/>
              <w:right w:w="110" w:type="dxa"/>
            </w:tcMar>
          </w:tcPr>
          <w:p>
            <w:pPr>
              <w:spacing w:after="0" w:line="245" w:lineRule="auto"/>
            </w:pPr>
            <w:r>
              <w:rPr>
                <w:b w:val="0"/>
                <w:color w:val="000000"/>
                <w:sz w:val="20"/>
              </w:rPr>
              <w:t>Help an interested student take the next product action. Real demos, plan details, FAQs, and relevant service offers.</w:t>
            </w:r>
          </w:p>
        </w:tc>
        <w:tc>
          <w:tcPr>
            <w:tcW w:type="dxa" w:w="2376"/>
            <w:vAlign w:val="center"/>
            <w:shd w:fill="FFFFFF"/>
            <w:tcMar>
              <w:top w:w="85" w:type="dxa"/>
              <w:bottom w:w="85" w:type="dxa"/>
              <w:left w:w="110" w:type="dxa"/>
              <w:right w:w="110" w:type="dxa"/>
            </w:tcMar>
          </w:tcPr>
          <w:p>
            <w:pPr>
              <w:spacing w:after="0" w:line="245" w:lineRule="auto"/>
            </w:pPr>
            <w:r>
              <w:rPr>
                <w:b w:val="0"/>
                <w:color w:val="000000"/>
                <w:sz w:val="20"/>
              </w:rPr>
              <w:t>Start a mock, choose an available plan, or enquire.</w:t>
            </w:r>
          </w:p>
        </w:tc>
      </w:tr>
    </w:tbl>
    <w:p>
      <w:pPr>
        <w:spacing w:after="0"/>
      </w:pPr>
    </w:p>
    <w:p>
      <w:pPr>
        <w:pStyle w:val="Heading2"/>
      </w:pPr>
      <w:r>
        <w:t>Choose the stage from the post's main job</w:t>
      </w:r>
    </w:p>
    <w:p>
      <w:r>
        <w:rPr>
          <w:b w:val="0"/>
        </w:rPr>
        <w:t>Classify each post once by its main objective and CTA. A local question that introduces the page is TOFU. A detailed explanation that helps a viewer assess the learning experience is MOFU. A demo asking the viewer to start or buy is BOFU. Topic alone does not determine the stage.</w:t>
      </w:r>
    </w:p>
    <w:p>
      <w:pPr>
        <w:pStyle w:val="Heading2"/>
      </w:pPr>
      <w:r>
        <w:t>The recurring series within the funnel</w:t>
      </w:r>
    </w:p>
    <w:p>
      <w:r>
        <w:rPr>
          <w:b w:val="0"/>
        </w:rPr>
        <w:t>Use After the Day Is Done and Our Place Our Question mainly for TOFU. Use Wrong Answer Clinic and You Asked We Explained mainly for MOFU. Use real mock walkthroughs, current plan comparisons, and product FAQs for BOFU. A series may serve another stage when the objective changes, but the individual post still counts once.</w:t>
      </w:r>
    </w:p>
    <w:p>
      <w:pPr>
        <w:pStyle w:val="Heading2"/>
      </w:pPr>
      <w:r>
        <w:t>Keep cultural connection useful</w:t>
      </w:r>
    </w:p>
    <w:p>
      <w:r>
        <w:rPr>
          <w:b w:val="0"/>
        </w:rPr>
        <w:t>Local stories should contain an accurate detail, a thoughtful conversation, or a relevant learning link. Sales posts should still explain something useful. The funnel allocation changes the purpose of the CTA without changing the respectful AxomRank voice.</w:t>
      </w:r>
    </w:p>
    <w:p>
      <w:pPr>
        <w:pStyle w:val="Heading2"/>
      </w:pPr>
      <w:r>
        <w:t>Stories support the feed allocation</w:t>
      </w:r>
    </w:p>
    <w:p>
      <w:r>
        <w:rPr>
          <w:b w:val="0"/>
        </w:rPr>
        <w:t>Reuse polls, answers, product links, and genuine FAQs in Stories. Track them separately so multiple Story frames do not distort the 50/30/20 feed-post count.</w:t>
      </w:r>
    </w:p>
    <w:p>
      <w:r>
        <w:br w:type="page"/>
      </w:r>
    </w:p>
    <w:p>
      <w:pPr>
        <w:pStyle w:val="Heading1"/>
      </w:pPr>
      <w:r>
        <w:t>Stories that can make aspirants feel seen</w:t>
      </w:r>
    </w:p>
    <w:p>
      <w:pPr>
        <w:pStyle w:val="Heading2"/>
      </w:pPr>
      <w:r>
        <w:t>The book opens after the chores</w:t>
      </w:r>
    </w:p>
    <w:p>
      <w:r>
        <w:rPr>
          <w:b w:val="0"/>
        </w:rPr>
        <w:t>Hook: “The day is nearly over. The book is opening now.” Show an adult aspirant finishing a household task, sitting down, and attempting three questions. End with “If this is your study hour too, choose one topic for tonight.” Keep the scene warm and ordinary, without pity or a dramatic rescue story.</w:t>
      </w:r>
    </w:p>
    <w:p>
      <w:pPr>
        <w:pStyle w:val="Heading2"/>
      </w:pPr>
      <w:r>
        <w:t>A mistake in a familiar calculation</w:t>
      </w:r>
    </w:p>
    <w:p>
      <w:r>
        <w:rPr>
          <w:b w:val="0"/>
        </w:rPr>
        <w:t>Hook: “You know the price. Check the percentage.” Use a simple purchase or price-change example, then explain the denominator. End with one new original practice question. The everyday setting earns attention and the method gives the post lasting value.</w:t>
      </w:r>
    </w:p>
    <w:p>
      <w:pPr>
        <w:pStyle w:val="Heading2"/>
      </w:pPr>
      <w:r>
        <w:t>The score nobody wanted to share</w:t>
      </w:r>
    </w:p>
    <w:p>
      <w:r>
        <w:rPr>
          <w:b w:val="0"/>
        </w:rPr>
        <w:t>Hook: “Before you close that low-score screenshot, review one answer.” Show a blank or genuine permitted result, then demonstrate a useful mistake note. End with a private practice action. Never invent a poor score or use someone's embarrassment as a testimonial.</w:t>
      </w:r>
    </w:p>
    <w:p>
      <w:pPr>
        <w:pStyle w:val="Heading2"/>
      </w:pPr>
      <w:r>
        <w:t>An ordinary study corner</w:t>
      </w:r>
    </w:p>
    <w:p>
      <w:r>
        <w:rPr>
          <w:b w:val="0"/>
        </w:rPr>
        <w:t>Hook: “Show us the corner where you study.” Begin with the creator's own desk, then invite voluntary contributions. Feature one study habit alongside each selected photo. End with a question about the viewer's next session. Explain that faces, addresses, and documents should stay out of submissions.</w:t>
      </w:r>
    </w:p>
    <w:p>
      <w:pPr>
        <w:pStyle w:val="Heading2"/>
      </w:pPr>
      <w:r>
        <w:t>The friend who asks whether you studied</w:t>
      </w:r>
    </w:p>
    <w:p>
      <w:r>
        <w:rPr>
          <w:b w:val="0"/>
        </w:rPr>
        <w:t>Hook: “A useful study partner asks what you attempted.” Show two friends answering separately and comparing their reasoning afterwards. End with “Send this to the person you will practise with.” Keep the invitation friendly and avoid pressure to tag several people.</w:t>
      </w:r>
    </w:p>
    <w:p>
      <w:pPr>
        <w:pStyle w:val="Heading2"/>
      </w:pPr>
      <w:r>
        <w:t>The creator attempts the question too</w:t>
      </w:r>
    </w:p>
    <w:p>
      <w:r>
        <w:rPr>
          <w:b w:val="0"/>
        </w:rPr>
        <w:t>Hook: “Try this with me before we check the answer.” Show the person behind AxomRank attempting and explaining a question. Admitting a real correction can help demonstrate the page's standards. Do not invent founder credentials or a selection story for the performance.</w:t>
      </w:r>
    </w:p>
    <w:p>
      <w:r>
        <w:br w:type="page"/>
      </w:r>
    </w:p>
    <w:p>
      <w:pPr>
        <w:pStyle w:val="Heading1"/>
      </w:pPr>
      <w:r>
        <w:t>Assam stories with a learning purpose</w:t>
      </w:r>
    </w:p>
    <w:p>
      <w:pPr>
        <w:pStyle w:val="Heading2"/>
      </w:pPr>
      <w:r>
        <w:t>Jorhat as a repeatable series</w:t>
      </w:r>
    </w:p>
    <w:p>
      <w:r>
        <w:rPr>
          <w:b w:val="0"/>
        </w:rPr>
        <w:t>Build on the visible Jorhat creative. Choose one recognisable location or institution, verify the detail, and turn it into a short question. Reuse the location-card frame for the next town so the account develops a recognisable series rather than disconnected travel posters.</w:t>
      </w:r>
    </w:p>
    <w:p>
      <w:pPr>
        <w:pStyle w:val="Heading2"/>
      </w:pPr>
      <w:r>
        <w:t>A landmark in the logo</w:t>
      </w:r>
    </w:p>
    <w:p>
      <w:r>
        <w:rPr>
          <w:b w:val="0"/>
        </w:rPr>
        <w:t>Use the Rang Ghar mark to introduce its real location and historical role. Finish with an original practice question and a link to Assam history practice. Keep disputed dates or superlative claims out until the source has been checked.</w:t>
      </w:r>
    </w:p>
    <w:p>
      <w:pPr>
        <w:pStyle w:val="Heading2"/>
      </w:pPr>
      <w:r>
        <w:t>A festival explained by someone who knows it</w:t>
      </w:r>
    </w:p>
    <w:p>
      <w:r>
        <w:rPr>
          <w:b w:val="0"/>
        </w:rPr>
        <w:t>Invite a suitable contributor to explain one practice or meaning from their community. Add a verified festival-community pairing as a revision card. Keep distinct traditions distinct, and identify the contributor's perspective rather than treating one account as the complete story.</w:t>
      </w:r>
    </w:p>
    <w:p>
      <w:pPr>
        <w:pStyle w:val="Heading2"/>
      </w:pPr>
      <w:r>
        <w:t>The history behind a familiar name</w:t>
      </w:r>
    </w:p>
    <w:p>
      <w:r>
        <w:rPr>
          <w:b w:val="0"/>
        </w:rPr>
        <w:t>Begin with a place or institution name viewers already use. Explain one sourced historical connection, then ask a question. Invite suggestions for the next name. Avoid guessing an etymology because it makes a good story.</w:t>
      </w:r>
    </w:p>
    <w:p>
      <w:pPr>
        <w:pStyle w:val="Heading2"/>
      </w:pPr>
      <w:r>
        <w:t>A small fact from everyday surroundings</w:t>
      </w:r>
    </w:p>
    <w:p>
      <w:r>
        <w:rPr>
          <w:b w:val="0"/>
        </w:rPr>
        <w:t>A river crossing, market sign, library, or public building can introduce geography, arithmetic, language, or general knowledge. Choose the lesson first and record the setting that makes it easier to understand. Seek permission where filming requires it.</w:t>
      </w:r>
    </w:p>
    <w:p>
      <w:pPr>
        <w:pStyle w:val="Heading2"/>
      </w:pPr>
      <w:r>
        <w:t>Let viewers help choose the route</w:t>
      </w:r>
    </w:p>
    <w:p>
      <w:r>
        <w:rPr>
          <w:b w:val="0"/>
        </w:rPr>
        <w:t>Use a Story poll with two specific topics and an open suggestion box. Keep a list of locations requested by viewers and acknowledge a suggestion when it becomes a post. Rotate features beyond places that already receive the most attention.</w:t>
      </w:r>
    </w:p>
    <w:p>
      <w:pPr>
        <w:pStyle w:val="Heading2"/>
      </w:pPr>
      <w:r>
        <w:t>Cultural respect keeps the page credible</w:t>
      </w:r>
    </w:p>
    <w:p>
      <w:r>
        <w:rPr>
          <w:b w:val="0"/>
        </w:rPr>
        <w:t>Explain before celebrating. Use real names and correct spellings. Do not rank communities, turn identity into a contest, or use unrelated traditional objects to make a lesson appear local. Link the post to a genuine question or thoughtful conversation.</w:t>
      </w:r>
    </w:p>
    <w:p>
      <w:r>
        <w:br w:type="page"/>
      </w:r>
    </w:p>
    <w:p>
      <w:pPr>
        <w:pStyle w:val="Heading1"/>
      </w:pPr>
      <w:r>
        <w:t>Teaching formats worth saving</w:t>
      </w:r>
    </w:p>
    <w:p>
      <w:pPr>
        <w:pStyle w:val="Heading2"/>
      </w:pPr>
      <w:r>
        <w:t>A practice carousel</w:t>
      </w:r>
    </w:p>
    <w:p>
      <w:r>
        <w:rPr>
          <w:b w:val="0"/>
        </w:rPr>
        <w:t>Use six slides: hook, three questions, answer explanations, and one next action. Label newly written questions as original practice. Keep genuine PYQs with their verified examination year, paper, and answer source.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864"/>
        <w:gridCol w:w="9072"/>
      </w:tblGrid>
      <w:tr>
        <w:trPr>
          <w:tblHeader/>
        </w:trPr>
        <w:tc>
          <w:tcPr>
            <w:tcW w:type="dxa" w:w="864"/>
            <w:vAlign w:val="center"/>
            <w:shd w:fill="292929"/>
            <w:tcMar>
              <w:top w:w="85" w:type="dxa"/>
              <w:bottom w:w="85" w:type="dxa"/>
              <w:left w:w="110" w:type="dxa"/>
              <w:right w:w="110" w:type="dxa"/>
            </w:tcMar>
          </w:tcPr>
          <w:p>
            <w:pPr>
              <w:spacing w:after="0" w:line="245" w:lineRule="auto"/>
            </w:pPr>
            <w:r>
              <w:rPr>
                <w:b/>
                <w:color w:val="FFFFFF"/>
                <w:sz w:val="20"/>
              </w:rPr>
              <w:t>Slide</w:t>
            </w:r>
          </w:p>
        </w:tc>
        <w:tc>
          <w:tcPr>
            <w:tcW w:type="dxa" w:w="9072"/>
            <w:vAlign w:val="center"/>
            <w:shd w:fill="292929"/>
            <w:tcMar>
              <w:top w:w="85" w:type="dxa"/>
              <w:bottom w:w="85" w:type="dxa"/>
              <w:left w:w="110" w:type="dxa"/>
              <w:right w:w="110" w:type="dxa"/>
            </w:tcMar>
          </w:tcPr>
          <w:p>
            <w:pPr>
              <w:spacing w:after="0" w:line="245" w:lineRule="auto"/>
            </w:pPr>
            <w:r>
              <w:rPr>
                <w:b/>
                <w:color w:val="FFFFFF"/>
                <w:sz w:val="20"/>
              </w:rPr>
              <w:t>Example copy</w:t>
            </w:r>
          </w:p>
        </w:tc>
      </w:tr>
      <w:tr>
        <w:trPr>
          <w:cantSplit/>
        </w:trPr>
        <w:tc>
          <w:tcPr>
            <w:tcW w:type="dxa" w:w="864"/>
            <w:vAlign w:val="center"/>
            <w:shd w:fill="FFFFFF"/>
            <w:tcMar>
              <w:top w:w="85" w:type="dxa"/>
              <w:bottom w:w="85" w:type="dxa"/>
              <w:left w:w="110" w:type="dxa"/>
              <w:right w:w="110" w:type="dxa"/>
            </w:tcMar>
          </w:tcPr>
          <w:p>
            <w:pPr>
              <w:spacing w:after="0" w:line="245" w:lineRule="auto"/>
            </w:pPr>
            <w:r>
              <w:rPr>
                <w:b w:val="0"/>
                <w:color w:val="000000"/>
                <w:sz w:val="20"/>
              </w:rPr>
              <w:t>1</w:t>
            </w:r>
          </w:p>
        </w:tc>
        <w:tc>
          <w:tcPr>
            <w:tcW w:type="dxa" w:w="9072"/>
            <w:vAlign w:val="center"/>
            <w:shd w:fill="FFFFFF"/>
            <w:tcMar>
              <w:top w:w="85" w:type="dxa"/>
              <w:bottom w:w="85" w:type="dxa"/>
              <w:left w:w="110" w:type="dxa"/>
              <w:right w:w="110" w:type="dxa"/>
            </w:tcMar>
          </w:tcPr>
          <w:p>
            <w:pPr>
              <w:spacing w:after="0" w:line="245" w:lineRule="auto"/>
            </w:pPr>
            <w:r>
              <w:rPr>
                <w:b w:val="0"/>
                <w:color w:val="000000"/>
                <w:sz w:val="20"/>
              </w:rPr>
              <w:t>Three quick questions. Attempt first. Answers on slide 5.</w:t>
            </w:r>
          </w:p>
        </w:tc>
      </w:tr>
      <w:tr>
        <w:trPr>
          <w:cantSplit/>
        </w:trPr>
        <w:tc>
          <w:tcPr>
            <w:tcW w:type="dxa" w:w="864"/>
            <w:vAlign w:val="center"/>
            <w:shd w:fill="F4F4F4"/>
            <w:tcMar>
              <w:top w:w="85" w:type="dxa"/>
              <w:bottom w:w="85" w:type="dxa"/>
              <w:left w:w="110" w:type="dxa"/>
              <w:right w:w="110" w:type="dxa"/>
            </w:tcMar>
          </w:tcPr>
          <w:p>
            <w:pPr>
              <w:spacing w:after="0" w:line="245" w:lineRule="auto"/>
            </w:pPr>
            <w:r>
              <w:rPr>
                <w:b w:val="0"/>
                <w:color w:val="000000"/>
                <w:sz w:val="20"/>
              </w:rPr>
              <w:t>2</w:t>
            </w:r>
          </w:p>
        </w:tc>
        <w:tc>
          <w:tcPr>
            <w:tcW w:type="dxa" w:w="9072"/>
            <w:vAlign w:val="center"/>
            <w:shd w:fill="F4F4F4"/>
            <w:tcMar>
              <w:top w:w="85" w:type="dxa"/>
              <w:bottom w:w="85" w:type="dxa"/>
              <w:left w:w="110" w:type="dxa"/>
              <w:right w:w="110" w:type="dxa"/>
            </w:tcMar>
          </w:tcPr>
          <w:p>
            <w:pPr>
              <w:spacing w:after="0" w:line="245" w:lineRule="auto"/>
            </w:pPr>
            <w:r>
              <w:rPr>
                <w:b w:val="0"/>
                <w:color w:val="000000"/>
                <w:sz w:val="20"/>
              </w:rPr>
              <w:t>15% of 200 = ? A 15, B 20, C 30, D 40.</w:t>
            </w:r>
          </w:p>
        </w:tc>
      </w:tr>
      <w:tr>
        <w:trPr>
          <w:cantSplit/>
        </w:trPr>
        <w:tc>
          <w:tcPr>
            <w:tcW w:type="dxa" w:w="864"/>
            <w:vAlign w:val="center"/>
            <w:shd w:fill="FFFFFF"/>
            <w:tcMar>
              <w:top w:w="85" w:type="dxa"/>
              <w:bottom w:w="85" w:type="dxa"/>
              <w:left w:w="110" w:type="dxa"/>
              <w:right w:w="110" w:type="dxa"/>
            </w:tcMar>
          </w:tcPr>
          <w:p>
            <w:pPr>
              <w:spacing w:after="0" w:line="245" w:lineRule="auto"/>
            </w:pPr>
            <w:r>
              <w:rPr>
                <w:b w:val="0"/>
                <w:color w:val="000000"/>
                <w:sz w:val="20"/>
              </w:rPr>
              <w:t>3</w:t>
            </w:r>
          </w:p>
        </w:tc>
        <w:tc>
          <w:tcPr>
            <w:tcW w:type="dxa" w:w="9072"/>
            <w:vAlign w:val="center"/>
            <w:shd w:fill="FFFFFF"/>
            <w:tcMar>
              <w:top w:w="85" w:type="dxa"/>
              <w:bottom w:w="85" w:type="dxa"/>
              <w:left w:w="110" w:type="dxa"/>
              <w:right w:w="110" w:type="dxa"/>
            </w:tcMar>
          </w:tcPr>
          <w:p>
            <w:pPr>
              <w:spacing w:after="0" w:line="245" w:lineRule="auto"/>
            </w:pPr>
            <w:r>
              <w:rPr>
                <w:b w:val="0"/>
                <w:color w:val="000000"/>
                <w:sz w:val="20"/>
              </w:rPr>
              <w:t>Divide 50 in the ratio 2:3. Smaller share? A 10, B 20, C 25, D 30.</w:t>
            </w:r>
          </w:p>
        </w:tc>
      </w:tr>
      <w:tr>
        <w:trPr>
          <w:cantSplit/>
        </w:trPr>
        <w:tc>
          <w:tcPr>
            <w:tcW w:type="dxa" w:w="864"/>
            <w:vAlign w:val="center"/>
            <w:shd w:fill="F4F4F4"/>
            <w:tcMar>
              <w:top w:w="85" w:type="dxa"/>
              <w:bottom w:w="85" w:type="dxa"/>
              <w:left w:w="110" w:type="dxa"/>
              <w:right w:w="110" w:type="dxa"/>
            </w:tcMar>
          </w:tcPr>
          <w:p>
            <w:pPr>
              <w:spacing w:after="0" w:line="245" w:lineRule="auto"/>
            </w:pPr>
            <w:r>
              <w:rPr>
                <w:b w:val="0"/>
                <w:color w:val="000000"/>
                <w:sz w:val="20"/>
              </w:rPr>
              <w:t>4</w:t>
            </w:r>
          </w:p>
        </w:tc>
        <w:tc>
          <w:tcPr>
            <w:tcW w:type="dxa" w:w="9072"/>
            <w:vAlign w:val="center"/>
            <w:shd w:fill="F4F4F4"/>
            <w:tcMar>
              <w:top w:w="85" w:type="dxa"/>
              <w:bottom w:w="85" w:type="dxa"/>
              <w:left w:w="110" w:type="dxa"/>
              <w:right w:w="110" w:type="dxa"/>
            </w:tcMar>
          </w:tcPr>
          <w:p>
            <w:pPr>
              <w:spacing w:after="0" w:line="245" w:lineRule="auto"/>
            </w:pPr>
            <w:r>
              <w:rPr>
                <w:b w:val="0"/>
                <w:color w:val="000000"/>
                <w:sz w:val="20"/>
              </w:rPr>
              <w:t>Average of 6, 8, and 10? A 6, B 7, C 8, D 9.</w:t>
            </w:r>
          </w:p>
        </w:tc>
      </w:tr>
      <w:tr>
        <w:trPr>
          <w:cantSplit/>
        </w:trPr>
        <w:tc>
          <w:tcPr>
            <w:tcW w:type="dxa" w:w="864"/>
            <w:vAlign w:val="center"/>
            <w:shd w:fill="FFFFFF"/>
            <w:tcMar>
              <w:top w:w="85" w:type="dxa"/>
              <w:bottom w:w="85" w:type="dxa"/>
              <w:left w:w="110" w:type="dxa"/>
              <w:right w:w="110" w:type="dxa"/>
            </w:tcMar>
          </w:tcPr>
          <w:p>
            <w:pPr>
              <w:spacing w:after="0" w:line="245" w:lineRule="auto"/>
            </w:pPr>
            <w:r>
              <w:rPr>
                <w:b w:val="0"/>
                <w:color w:val="000000"/>
                <w:sz w:val="20"/>
              </w:rPr>
              <w:t>5</w:t>
            </w:r>
          </w:p>
        </w:tc>
        <w:tc>
          <w:tcPr>
            <w:tcW w:type="dxa" w:w="9072"/>
            <w:vAlign w:val="center"/>
            <w:shd w:fill="FFFFFF"/>
            <w:tcMar>
              <w:top w:w="85" w:type="dxa"/>
              <w:bottom w:w="85" w:type="dxa"/>
              <w:left w:w="110" w:type="dxa"/>
              <w:right w:w="110" w:type="dxa"/>
            </w:tcMar>
          </w:tcPr>
          <w:p>
            <w:pPr>
              <w:spacing w:after="0" w:line="245" w:lineRule="auto"/>
            </w:pPr>
            <w:r>
              <w:rPr>
                <w:b w:val="0"/>
                <w:color w:val="000000"/>
                <w:sz w:val="20"/>
              </w:rPr>
              <w:t>1 C: 200 x 15/100 = 30. 2 B: 50 x 2/5 = 20. 3 C: 24/3 = 8.</w:t>
            </w:r>
          </w:p>
        </w:tc>
      </w:tr>
      <w:tr>
        <w:trPr>
          <w:cantSplit/>
        </w:trPr>
        <w:tc>
          <w:tcPr>
            <w:tcW w:type="dxa" w:w="864"/>
            <w:vAlign w:val="center"/>
            <w:shd w:fill="F4F4F4"/>
            <w:tcMar>
              <w:top w:w="85" w:type="dxa"/>
              <w:bottom w:w="85" w:type="dxa"/>
              <w:left w:w="110" w:type="dxa"/>
              <w:right w:w="110" w:type="dxa"/>
            </w:tcMar>
          </w:tcPr>
          <w:p>
            <w:pPr>
              <w:spacing w:after="0" w:line="245" w:lineRule="auto"/>
            </w:pPr>
            <w:r>
              <w:rPr>
                <w:b w:val="0"/>
                <w:color w:val="000000"/>
                <w:sz w:val="20"/>
              </w:rPr>
              <w:t>6</w:t>
            </w:r>
          </w:p>
        </w:tc>
        <w:tc>
          <w:tcPr>
            <w:tcW w:type="dxa" w:w="9072"/>
            <w:vAlign w:val="center"/>
            <w:shd w:fill="F4F4F4"/>
            <w:tcMar>
              <w:top w:w="85" w:type="dxa"/>
              <w:bottom w:w="85" w:type="dxa"/>
              <w:left w:w="110" w:type="dxa"/>
              <w:right w:w="110" w:type="dxa"/>
            </w:tcMar>
          </w:tcPr>
          <w:p>
            <w:pPr>
              <w:spacing w:after="0" w:line="245" w:lineRule="auto"/>
            </w:pPr>
            <w:r>
              <w:rPr>
                <w:b w:val="0"/>
                <w:color w:val="000000"/>
                <w:sz w:val="20"/>
              </w:rPr>
              <w:t>Tell us your score out of 3. Practise the topic you missed on AxomRank.</w:t>
            </w:r>
          </w:p>
        </w:tc>
      </w:tr>
    </w:tbl>
    <w:p>
      <w:pPr>
        <w:spacing w:after="0"/>
      </w:pPr>
    </w:p>
    <w:p>
      <w:pPr>
        <w:pStyle w:val="Heading2"/>
      </w:pPr>
      <w:r>
        <w:t>A short explanation Reel</w:t>
      </w:r>
    </w:p>
    <w:p>
      <w:r>
        <w:rPr>
          <w:b w:val="0"/>
        </w:rPr>
        <w:t>Suggested structure: first 2 seconds show the question; next 5 to 8 seconds allow a reading or attempt pause; next 10 to 20 seconds explain the answer; final seconds give one practice action. Adjust the timing to readability. A complex lesson needs more time.</w:t>
      </w:r>
    </w:p>
    <w:p>
      <w:pPr>
        <w:pStyle w:val="Heading2"/>
      </w:pPr>
      <w:r>
        <w:t>A daily Story sequence</w:t>
      </w:r>
    </w:p>
    <w:p>
      <w:r>
        <w:rPr>
          <w:b w:val="0"/>
        </w:rPr>
        <w:t>Show a question and poll. Later, publish the answer with a short reason. Add the relevant practice link when available. Let the question carry the interaction rather than repeating a generic “Good morning” graphic.</w:t>
      </w:r>
    </w:p>
    <w:p>
      <w:pPr>
        <w:pStyle w:val="Heading2"/>
      </w:pPr>
      <w:r>
        <w:t>A look that belongs to AxomRank</w:t>
      </w:r>
    </w:p>
    <w:p>
      <w:r>
        <w:rPr>
          <w:b w:val="0"/>
        </w:rPr>
        <w:t>Keep maroon, charcoal, and ivory as the base. Use the Rang Ghar mark in a consistent corner, large type, and flat backgrounds. Keep question options and answer labels readable on a phone. Green can indicate a correct answer, accompanied by text.</w:t>
      </w:r>
    </w:p>
    <w:p>
      <w:pPr>
        <w:pStyle w:val="Heading2"/>
      </w:pPr>
      <w:r>
        <w:t>Language that carries the explanation</w:t>
      </w:r>
    </w:p>
    <w:p>
      <w:r>
        <w:rPr>
          <w:b w:val="0"/>
        </w:rPr>
        <w:t>Make the Assamese version a complete lesson. Use natural spoken Assamese for delivery where suitable, with readable subtitles. Technical words may remain in English when that helps learning, but explain them clearly. Proofread the final wording and rendered script.</w:t>
      </w:r>
    </w:p>
    <w:p>
      <w:r>
        <w:br w:type="page"/>
      </w:r>
    </w:p>
    <w:p>
      <w:pPr>
        <w:pStyle w:val="Heading1"/>
      </w:pPr>
      <w:r>
        <w:t>Turn viewers into participants</w:t>
      </w:r>
    </w:p>
    <w:p>
      <w:pPr>
        <w:pStyle w:val="Heading2"/>
      </w:pPr>
      <w:r>
        <w:t>Choose a small interaction that matters</w:t>
      </w:r>
    </w:p>
    <w:p>
      <w:r>
        <w:rPr>
          <w:b w:val="0"/>
        </w:rPr>
        <w:t>Ask viewers for the option they chose, the step they found confusing, or the topic they want next. In a student-story post, ask about the study habit rather than demanding a personal account of hardship. One clear question is enough.</w:t>
      </w:r>
    </w:p>
    <w:p>
      <w:pPr>
        <w:pStyle w:val="Heading2"/>
      </w:pPr>
      <w:r>
        <w:t>Make replies useful</w:t>
      </w:r>
    </w:p>
    <w:p>
      <w:r>
        <w:rPr>
          <w:b w:val="0"/>
        </w:rPr>
        <w:t>Answer confusion with a short explanation. When several people ask the same question, publish a follow-up lesson. If a viewer points out an error, check it and publish the correction clearly. Community trust grows through how the page behaves between posts.</w:t>
      </w:r>
    </w:p>
    <w:p>
      <w:pPr>
        <w:pStyle w:val="Heading2"/>
      </w:pPr>
      <w:r>
        <w:t>Invite voluntary student features</w:t>
      </w:r>
    </w:p>
    <w:p>
      <w:r>
        <w:rPr>
          <w:b w:val="0"/>
        </w:rPr>
        <w:t>Explain what a contributor is sending and where it may appear. Obtain permission before publishing an identifiable photo, voice, study story, or result. Give credit in the agreed form. Make declining or withdrawing from an unpublished feature easy.</w:t>
      </w:r>
    </w:p>
    <w:p>
      <w:pPr>
        <w:pStyle w:val="Heading2"/>
      </w:pPr>
      <w:r>
        <w:t>Give participation a regular place</w:t>
      </w:r>
    </w:p>
    <w:p>
      <w:r>
        <w:rPr>
          <w:b w:val="0"/>
        </w:rPr>
        <w:t>Use a weekly “You Asked We Explained” slot and an occasional “Our Study Corners” feature. Begin with contributions already available or the creator's own example. A small number of real voices is enough for the first month.</w:t>
      </w:r>
    </w:p>
    <w:p>
      <w:pPr>
        <w:pStyle w:val="Heading2"/>
      </w:pPr>
      <w:r>
        <w:t>Find partners with a relevant audience</w:t>
      </w:r>
    </w:p>
    <w:p>
      <w:r>
        <w:rPr>
          <w:b w:val="0"/>
        </w:rPr>
        <w:t>Consider small educators, district photographers, campus groups, book clubs, or local creators whose work matches a specific episode. Offer a useful collaboration: one sourced local story plus one learning question, or one explanation on a topic students requested.</w:t>
      </w:r>
    </w:p>
    <w:p>
      <w:r>
        <w:rPr>
          <w:b w:val="0"/>
        </w:rPr>
        <w:t>For exam lessons, choose subject competence. For cultural stories, choose local knowledge. Review the final content together, agree on credit, and keep any paid partnership clear. Start with one collaboration and learn from its actual response.</w:t>
      </w:r>
    </w:p>
    <w:p>
      <w:pPr>
        <w:pStyle w:val="Heading2"/>
      </w:pPr>
      <w:r>
        <w:t>Keep belonging broad</w:t>
      </w:r>
    </w:p>
    <w:p>
      <w:r>
        <w:rPr>
          <w:b w:val="0"/>
        </w:rPr>
        <w:t>Do not turn regional pride into hostility, community comparisons, or exam rumours. The account can celebrate Assam while treating every student respectfully. Let viewers feel included because their place, language, and effort receive care.</w:t>
      </w:r>
    </w:p>
    <w:p>
      <w:r>
        <w:br w:type="page"/>
      </w:r>
    </w:p>
    <w:p>
      <w:pPr>
        <w:pStyle w:val="Heading1"/>
      </w:pPr>
      <w:r>
        <w:t>Make the profile easy to understand</w:t>
      </w:r>
    </w:p>
    <w:p>
      <w:pPr>
        <w:pStyle w:val="Heading2"/>
      </w:pPr>
      <w:r>
        <w:t>Recommended profile wording</w:t>
      </w:r>
    </w:p>
    <w:p>
      <w:r>
        <w:rPr>
          <w:b/>
        </w:rPr>
        <w:t>Display name: AxomRank | ADRE and Assam Exams</w:t>
      </w:r>
    </w:p>
    <w:p>
      <w:r>
        <w:rPr>
          <w:b w:val="0"/>
        </w:rPr>
        <w:t>ADRE and Assam exam practice</w:t>
        <w:br/>
        <w:t>Assamese + English | Mocks and GK</w:t>
        <w:br/>
        <w:t>Rooted in Assam. Rising with you.</w:t>
        <w:br/>
        <w:t>Start practising below</w:t>
      </w:r>
    </w:p>
    <w:p>
      <w:r>
        <w:rPr>
          <w:b w:val="0"/>
        </w:rPr>
        <w:t>Keep one tested profile link with a clear practice starting point. Replace the bio's individual “I will help” promise with the platform's actual learning offer.</w:t>
      </w:r>
    </w:p>
    <w:p>
      <w:pPr>
        <w:pStyle w:val="Heading2"/>
      </w:pPr>
      <w:r>
        <w:t>Three pinned posts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00"/>
        <w:gridCol w:w="2304"/>
        <w:gridCol w:w="5832"/>
      </w:tblGrid>
      <w:tr>
        <w:trPr>
          <w:tblHeader/>
        </w:trPr>
        <w:tc>
          <w:tcPr>
            <w:tcW w:type="dxa" w:w="1800"/>
            <w:vAlign w:val="center"/>
            <w:shd w:fill="292929"/>
            <w:tcMar>
              <w:top w:w="85" w:type="dxa"/>
              <w:bottom w:w="85" w:type="dxa"/>
              <w:left w:w="110" w:type="dxa"/>
              <w:right w:w="110" w:type="dxa"/>
            </w:tcMar>
          </w:tcPr>
          <w:p>
            <w:pPr>
              <w:spacing w:after="0" w:line="245" w:lineRule="auto"/>
            </w:pPr>
            <w:r>
              <w:rPr>
                <w:b/>
                <w:color w:val="FFFFFF"/>
                <w:sz w:val="20"/>
              </w:rPr>
              <w:t>Pin</w:t>
            </w:r>
          </w:p>
        </w:tc>
        <w:tc>
          <w:tcPr>
            <w:tcW w:type="dxa" w:w="2304"/>
            <w:vAlign w:val="center"/>
            <w:shd w:fill="292929"/>
            <w:tcMar>
              <w:top w:w="85" w:type="dxa"/>
              <w:bottom w:w="85" w:type="dxa"/>
              <w:left w:w="110" w:type="dxa"/>
              <w:right w:w="110" w:type="dxa"/>
            </w:tcMar>
          </w:tcPr>
          <w:p>
            <w:pPr>
              <w:spacing w:after="0" w:line="245" w:lineRule="auto"/>
            </w:pPr>
            <w:r>
              <w:rPr>
                <w:b/>
                <w:color w:val="FFFFFF"/>
                <w:sz w:val="20"/>
              </w:rPr>
              <w:t>Purpose</w:t>
            </w:r>
          </w:p>
        </w:tc>
        <w:tc>
          <w:tcPr>
            <w:tcW w:type="dxa" w:w="5832"/>
            <w:vAlign w:val="center"/>
            <w:shd w:fill="292929"/>
            <w:tcMar>
              <w:top w:w="85" w:type="dxa"/>
              <w:bottom w:w="85" w:type="dxa"/>
              <w:left w:w="110" w:type="dxa"/>
              <w:right w:w="110" w:type="dxa"/>
            </w:tcMar>
          </w:tcPr>
          <w:p>
            <w:pPr>
              <w:spacing w:after="0" w:line="245" w:lineRule="auto"/>
            </w:pPr>
            <w:r>
              <w:rPr>
                <w:b/>
                <w:color w:val="FFFFFF"/>
                <w:sz w:val="20"/>
              </w:rPr>
              <w:t>Content</w:t>
            </w:r>
          </w:p>
        </w:tc>
      </w:tr>
      <w:tr>
        <w:trPr>
          <w:cantSplit/>
        </w:trPr>
        <w:tc>
          <w:tcPr>
            <w:tcW w:type="dxa" w:w="1800"/>
            <w:vAlign w:val="center"/>
            <w:shd w:fill="FFFFFF"/>
            <w:tcMar>
              <w:top w:w="85" w:type="dxa"/>
              <w:bottom w:w="85" w:type="dxa"/>
              <w:left w:w="110" w:type="dxa"/>
              <w:right w:w="110" w:type="dxa"/>
            </w:tcMar>
          </w:tcPr>
          <w:p>
            <w:pPr>
              <w:spacing w:after="0" w:line="245" w:lineRule="auto"/>
            </w:pPr>
            <w:r>
              <w:rPr>
                <w:b w:val="0"/>
                <w:color w:val="000000"/>
                <w:sz w:val="20"/>
              </w:rPr>
              <w:t>Start here</w:t>
            </w:r>
          </w:p>
        </w:tc>
        <w:tc>
          <w:tcPr>
            <w:tcW w:type="dxa" w:w="2304"/>
            <w:vAlign w:val="center"/>
            <w:shd w:fill="FFFFFF"/>
            <w:tcMar>
              <w:top w:w="85" w:type="dxa"/>
              <w:bottom w:w="85" w:type="dxa"/>
              <w:left w:w="110" w:type="dxa"/>
              <w:right w:w="110" w:type="dxa"/>
            </w:tcMar>
          </w:tcPr>
          <w:p>
            <w:pPr>
              <w:spacing w:after="0" w:line="245" w:lineRule="auto"/>
            </w:pPr>
            <w:r>
              <w:rPr>
                <w:b w:val="0"/>
                <w:color w:val="000000"/>
                <w:sz w:val="20"/>
              </w:rPr>
              <w:t>Explain the page</w:t>
            </w:r>
          </w:p>
        </w:tc>
        <w:tc>
          <w:tcPr>
            <w:tcW w:type="dxa" w:w="5832"/>
            <w:vAlign w:val="center"/>
            <w:shd w:fill="FFFFFF"/>
            <w:tcMar>
              <w:top w:w="85" w:type="dxa"/>
              <w:bottom w:w="85" w:type="dxa"/>
              <w:left w:w="110" w:type="dxa"/>
              <w:right w:w="110" w:type="dxa"/>
            </w:tcMar>
          </w:tcPr>
          <w:p>
            <w:pPr>
              <w:spacing w:after="0" w:line="245" w:lineRule="auto"/>
            </w:pPr>
            <w:r>
              <w:rPr>
                <w:b w:val="0"/>
                <w:color w:val="000000"/>
                <w:sz w:val="20"/>
              </w:rPr>
              <w:t>A short welcome, who it helps, what to expect, and the first practice action.</w:t>
            </w:r>
          </w:p>
        </w:tc>
      </w:tr>
      <w:tr>
        <w:trPr>
          <w:cantSplit/>
        </w:trPr>
        <w:tc>
          <w:tcPr>
            <w:tcW w:type="dxa" w:w="1800"/>
            <w:vAlign w:val="center"/>
            <w:shd w:fill="F4F4F4"/>
            <w:tcMar>
              <w:top w:w="85" w:type="dxa"/>
              <w:bottom w:w="85" w:type="dxa"/>
              <w:left w:w="110" w:type="dxa"/>
              <w:right w:w="110" w:type="dxa"/>
            </w:tcMar>
          </w:tcPr>
          <w:p>
            <w:pPr>
              <w:spacing w:after="0" w:line="245" w:lineRule="auto"/>
            </w:pPr>
            <w:r>
              <w:rPr>
                <w:b w:val="0"/>
                <w:color w:val="000000"/>
                <w:sz w:val="20"/>
              </w:rPr>
              <w:t>Try this lesson</w:t>
            </w:r>
          </w:p>
        </w:tc>
        <w:tc>
          <w:tcPr>
            <w:tcW w:type="dxa" w:w="2304"/>
            <w:vAlign w:val="center"/>
            <w:shd w:fill="F4F4F4"/>
            <w:tcMar>
              <w:top w:w="85" w:type="dxa"/>
              <w:bottom w:w="85" w:type="dxa"/>
              <w:left w:w="110" w:type="dxa"/>
              <w:right w:w="110" w:type="dxa"/>
            </w:tcMar>
          </w:tcPr>
          <w:p>
            <w:pPr>
              <w:spacing w:after="0" w:line="245" w:lineRule="auto"/>
            </w:pPr>
            <w:r>
              <w:rPr>
                <w:b w:val="0"/>
                <w:color w:val="000000"/>
                <w:sz w:val="20"/>
              </w:rPr>
              <w:t>Demonstrate usefulness</w:t>
            </w:r>
          </w:p>
        </w:tc>
        <w:tc>
          <w:tcPr>
            <w:tcW w:type="dxa" w:w="5832"/>
            <w:vAlign w:val="center"/>
            <w:shd w:fill="F4F4F4"/>
            <w:tcMar>
              <w:top w:w="85" w:type="dxa"/>
              <w:bottom w:w="85" w:type="dxa"/>
              <w:left w:w="110" w:type="dxa"/>
              <w:right w:w="110" w:type="dxa"/>
            </w:tcMar>
          </w:tcPr>
          <w:p>
            <w:pPr>
              <w:spacing w:after="0" w:line="245" w:lineRule="auto"/>
            </w:pPr>
            <w:r>
              <w:rPr>
                <w:b w:val="0"/>
                <w:color w:val="000000"/>
                <w:sz w:val="20"/>
              </w:rPr>
              <w:t>A strong original quiz or wrong-answer explanation with visible reasoning.</w:t>
            </w:r>
          </w:p>
        </w:tc>
      </w:tr>
      <w:tr>
        <w:trPr>
          <w:cantSplit/>
        </w:trPr>
        <w:tc>
          <w:tcPr>
            <w:tcW w:type="dxa" w:w="1800"/>
            <w:vAlign w:val="center"/>
            <w:shd w:fill="FFFFFF"/>
            <w:tcMar>
              <w:top w:w="85" w:type="dxa"/>
              <w:bottom w:w="85" w:type="dxa"/>
              <w:left w:w="110" w:type="dxa"/>
              <w:right w:w="110" w:type="dxa"/>
            </w:tcMar>
          </w:tcPr>
          <w:p>
            <w:pPr>
              <w:spacing w:after="0" w:line="245" w:lineRule="auto"/>
            </w:pPr>
            <w:r>
              <w:rPr>
                <w:b w:val="0"/>
                <w:color w:val="000000"/>
                <w:sz w:val="20"/>
              </w:rPr>
              <w:t>Use AxomRank</w:t>
            </w:r>
          </w:p>
        </w:tc>
        <w:tc>
          <w:tcPr>
            <w:tcW w:type="dxa" w:w="2304"/>
            <w:vAlign w:val="center"/>
            <w:shd w:fill="FFFFFF"/>
            <w:tcMar>
              <w:top w:w="85" w:type="dxa"/>
              <w:bottom w:w="85" w:type="dxa"/>
              <w:left w:w="110" w:type="dxa"/>
              <w:right w:w="110" w:type="dxa"/>
            </w:tcMar>
          </w:tcPr>
          <w:p>
            <w:pPr>
              <w:spacing w:after="0" w:line="245" w:lineRule="auto"/>
            </w:pPr>
            <w:r>
              <w:rPr>
                <w:b w:val="0"/>
                <w:color w:val="000000"/>
                <w:sz w:val="20"/>
              </w:rPr>
              <w:t>Demonstrate the product</w:t>
            </w:r>
          </w:p>
        </w:tc>
        <w:tc>
          <w:tcPr>
            <w:tcW w:type="dxa" w:w="5832"/>
            <w:vAlign w:val="center"/>
            <w:shd w:fill="FFFFFF"/>
            <w:tcMar>
              <w:top w:w="85" w:type="dxa"/>
              <w:bottom w:w="85" w:type="dxa"/>
              <w:left w:w="110" w:type="dxa"/>
              <w:right w:w="110" w:type="dxa"/>
            </w:tcMar>
          </w:tcPr>
          <w:p>
            <w:pPr>
              <w:spacing w:after="0" w:line="245" w:lineRule="auto"/>
            </w:pPr>
            <w:r>
              <w:rPr>
                <w:b w:val="0"/>
                <w:color w:val="000000"/>
                <w:sz w:val="20"/>
              </w:rPr>
              <w:t>A real phone-screen walkthrough showing a test or question and how to begin.</w:t>
            </w:r>
          </w:p>
        </w:tc>
      </w:tr>
    </w:tbl>
    <w:p>
      <w:pPr>
        <w:spacing w:after="0"/>
      </w:pPr>
    </w:p>
    <w:p>
      <w:pPr>
        <w:pStyle w:val="Heading2"/>
      </w:pPr>
      <w:r>
        <w:t>Highlights</w:t>
      </w:r>
    </w:p>
    <w:p>
      <w:r>
        <w:rPr>
          <w:b w:val="0"/>
        </w:rPr>
        <w:t>Use Start, Practice, Assam GK, Mocks, Tools, and Our Stories as the main labels. Move existing cultural stories into the relevant collection. Keep only highlights that help a visitor understand, learn, or participate.</w:t>
      </w:r>
    </w:p>
    <w:p>
      <w:pPr>
        <w:pStyle w:val="Heading2"/>
      </w:pPr>
      <w:r>
        <w:t>Welcome post copy</w:t>
      </w:r>
    </w:p>
    <w:p>
      <w:r>
        <w:rPr>
          <w:b w:val="0"/>
        </w:rPr>
        <w:t>“Welcome to AxomRank. We bring Assam's exam aspirants questions to attempt, mistakes to understand, and local knowledge worth remembering. You will also meet the everyday stories around preparation. Begin with today's practice question, then choose your next topic.”</w:t>
      </w:r>
    </w:p>
    <w:p>
      <w:pPr>
        <w:pStyle w:val="Heading2"/>
      </w:pPr>
      <w:r>
        <w:t>Connect content to practice</w:t>
      </w:r>
    </w:p>
    <w:p>
      <w:r>
        <w:rPr>
          <w:b w:val="0"/>
        </w:rPr>
        <w:t>Use one main CTA per post. A culture question should lead to related GK. A maths explanation should lead to that topic. A community invitation can lead to a reply or contribution. An occasional product demonstration can ask viewers to explore current access options.</w:t>
      </w:r>
    </w:p>
    <w:p>
      <w:r>
        <w:rPr>
          <w:b w:val="0"/>
        </w:rPr>
        <w:t>A viewer should receive a useful result before being asked to buy. Show what an available product does, verify its current price and inclusions, and let the student choose. Keep subscription and Document Vault promotions relevant to the post.</w:t>
      </w:r>
    </w:p>
    <w:p>
      <w:pPr>
        <w:pStyle w:val="Heading2"/>
      </w:pPr>
      <w:r>
        <w:t>Bottom of funnel without pressure</w:t>
      </w:r>
    </w:p>
    <w:p>
      <w:r>
        <w:rPr>
          <w:b w:val="0"/>
        </w:rPr>
        <w:t>Use product demonstrations, access FAQs, and clear current plan information for the 20% BOFU allocation. Give each post one action. Use a paid CTA only for a live offer; otherwise invite a real mock start or product enquiry. Do not invent scarcity, discounts, testimonials, or included features.</w:t>
      </w:r>
    </w:p>
    <w:p>
      <w:r>
        <w:br w:type="page"/>
      </w:r>
    </w:p>
    <w:p>
      <w:pPr>
        <w:pStyle w:val="Heading1"/>
      </w:pPr>
      <w:r>
        <w:t>A manageable first month</w:t>
      </w:r>
    </w:p>
    <w:p>
      <w:r>
        <w:rPr>
          <w:b w:val="0"/>
        </w:rPr>
        <w:t>Publish five feed posts per week for four weeks: two Reels and three carousels. This produces 20 posts with the exact 50/30/20 split. Batch production and reuse the existing carousel calendar where the topic fits. Stories can run on five days using material already produced.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576"/>
        <w:gridCol w:w="1872"/>
        <w:gridCol w:w="1872"/>
        <w:gridCol w:w="1872"/>
        <w:gridCol w:w="1872"/>
        <w:gridCol w:w="1872"/>
      </w:tblGrid>
      <w:tr>
        <w:trPr>
          <w:tblHeader/>
        </w:trPr>
        <w:tc>
          <w:tcPr>
            <w:tcW w:type="dxa" w:w="576"/>
            <w:vAlign w:val="center"/>
            <w:shd w:fill="292929"/>
            <w:tcMar>
              <w:top w:w="85" w:type="dxa"/>
              <w:bottom w:w="85" w:type="dxa"/>
              <w:left w:w="110" w:type="dxa"/>
              <w:right w:w="110" w:type="dxa"/>
            </w:tcMar>
          </w:tcPr>
          <w:p>
            <w:pPr>
              <w:spacing w:after="0" w:line="245" w:lineRule="auto"/>
            </w:pPr>
            <w:r>
              <w:rPr>
                <w:b/>
                <w:color w:val="FFFFFF"/>
                <w:sz w:val="20"/>
              </w:rPr>
              <w:t>Wk</w:t>
            </w:r>
          </w:p>
        </w:tc>
        <w:tc>
          <w:tcPr>
            <w:tcW w:type="dxa" w:w="1872"/>
            <w:vAlign w:val="center"/>
            <w:shd w:fill="292929"/>
            <w:tcMar>
              <w:top w:w="85" w:type="dxa"/>
              <w:bottom w:w="85" w:type="dxa"/>
              <w:left w:w="110" w:type="dxa"/>
              <w:right w:w="110" w:type="dxa"/>
            </w:tcMar>
          </w:tcPr>
          <w:p>
            <w:pPr>
              <w:spacing w:after="0" w:line="245" w:lineRule="auto"/>
            </w:pPr>
            <w:r>
              <w:rPr>
                <w:b/>
                <w:color w:val="FFFFFF"/>
                <w:sz w:val="20"/>
              </w:rPr>
              <w:t>Monday Reel</w:t>
            </w:r>
          </w:p>
        </w:tc>
        <w:tc>
          <w:tcPr>
            <w:tcW w:type="dxa" w:w="1872"/>
            <w:vAlign w:val="center"/>
            <w:shd w:fill="292929"/>
            <w:tcMar>
              <w:top w:w="85" w:type="dxa"/>
              <w:bottom w:w="85" w:type="dxa"/>
              <w:left w:w="110" w:type="dxa"/>
              <w:right w:w="110" w:type="dxa"/>
            </w:tcMar>
          </w:tcPr>
          <w:p>
            <w:pPr>
              <w:spacing w:after="0" w:line="245" w:lineRule="auto"/>
            </w:pPr>
            <w:r>
              <w:rPr>
                <w:b/>
                <w:color w:val="FFFFFF"/>
                <w:sz w:val="20"/>
              </w:rPr>
              <w:t>Wednesday carousel</w:t>
            </w:r>
          </w:p>
        </w:tc>
        <w:tc>
          <w:tcPr>
            <w:tcW w:type="dxa" w:w="1872"/>
            <w:vAlign w:val="center"/>
            <w:shd w:fill="292929"/>
            <w:tcMar>
              <w:top w:w="85" w:type="dxa"/>
              <w:bottom w:w="85" w:type="dxa"/>
              <w:left w:w="110" w:type="dxa"/>
              <w:right w:w="110" w:type="dxa"/>
            </w:tcMar>
          </w:tcPr>
          <w:p>
            <w:pPr>
              <w:spacing w:after="0" w:line="245" w:lineRule="auto"/>
            </w:pPr>
            <w:r>
              <w:rPr>
                <w:b/>
                <w:color w:val="FFFFFF"/>
                <w:sz w:val="20"/>
              </w:rPr>
              <w:t>Friday carousel</w:t>
            </w:r>
          </w:p>
        </w:tc>
        <w:tc>
          <w:tcPr>
            <w:tcW w:type="dxa" w:w="1872"/>
            <w:vAlign w:val="center"/>
            <w:shd w:fill="292929"/>
            <w:tcMar>
              <w:top w:w="85" w:type="dxa"/>
              <w:bottom w:w="85" w:type="dxa"/>
              <w:left w:w="110" w:type="dxa"/>
              <w:right w:w="110" w:type="dxa"/>
            </w:tcMar>
          </w:tcPr>
          <w:p>
            <w:pPr>
              <w:spacing w:after="0" w:line="245" w:lineRule="auto"/>
            </w:pPr>
            <w:r>
              <w:rPr>
                <w:b/>
                <w:color w:val="FFFFFF"/>
                <w:sz w:val="20"/>
              </w:rPr>
              <w:t>Saturday carousel</w:t>
            </w:r>
          </w:p>
        </w:tc>
        <w:tc>
          <w:tcPr>
            <w:tcW w:type="dxa" w:w="1872"/>
            <w:vAlign w:val="center"/>
            <w:shd w:fill="292929"/>
            <w:tcMar>
              <w:top w:w="85" w:type="dxa"/>
              <w:bottom w:w="85" w:type="dxa"/>
              <w:left w:w="110" w:type="dxa"/>
              <w:right w:w="110" w:type="dxa"/>
            </w:tcMar>
          </w:tcPr>
          <w:p>
            <w:pPr>
              <w:spacing w:after="0" w:line="245" w:lineRule="auto"/>
            </w:pPr>
            <w:r>
              <w:rPr>
                <w:b/>
                <w:color w:val="FFFFFF"/>
                <w:sz w:val="20"/>
              </w:rPr>
              <w:t>Sunday Reel</w:t>
            </w:r>
          </w:p>
        </w:tc>
      </w:tr>
      <w:tr>
        <w:trPr>
          <w:cantSplit/>
        </w:trPr>
        <w:tc>
          <w:tcPr>
            <w:tcW w:type="dxa" w:w="576"/>
            <w:vAlign w:val="center"/>
            <w:shd w:fill="FFFFFF"/>
            <w:tcMar>
              <w:top w:w="85" w:type="dxa"/>
              <w:bottom w:w="85" w:type="dxa"/>
              <w:left w:w="110" w:type="dxa"/>
              <w:right w:w="110" w:type="dxa"/>
            </w:tcMar>
          </w:tcPr>
          <w:p>
            <w:pPr>
              <w:spacing w:after="0" w:line="245" w:lineRule="auto"/>
            </w:pPr>
            <w:r>
              <w:rPr>
                <w:b w:val="0"/>
                <w:color w:val="000000"/>
                <w:sz w:val="20"/>
              </w:rPr>
              <w:t>1</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TOFU</w:t>
              <w:br/>
              <w:t>Study after the day's work</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MOFU</w:t>
              <w:br/>
              <w:t>Three maths questions with explanations</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TOFU</w:t>
              <w:br/>
              <w:t>Rang Ghar and one question</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MOFU</w:t>
              <w:br/>
              <w:t>Review one wrong answer</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BOFU</w:t>
              <w:br/>
              <w:t>Start a real available mock</w:t>
            </w:r>
          </w:p>
        </w:tc>
      </w:tr>
      <w:tr>
        <w:trPr>
          <w:cantSplit/>
        </w:trPr>
        <w:tc>
          <w:tcPr>
            <w:tcW w:type="dxa" w:w="576"/>
            <w:vAlign w:val="center"/>
            <w:shd w:fill="F4F4F4"/>
            <w:tcMar>
              <w:top w:w="85" w:type="dxa"/>
              <w:bottom w:w="85" w:type="dxa"/>
              <w:left w:w="110" w:type="dxa"/>
              <w:right w:w="110" w:type="dxa"/>
            </w:tcMar>
          </w:tcPr>
          <w:p>
            <w:pPr>
              <w:spacing w:after="0" w:line="245" w:lineRule="auto"/>
            </w:pPr>
            <w:r>
              <w:rPr>
                <w:b w:val="0"/>
                <w:color w:val="000000"/>
                <w:sz w:val="20"/>
              </w:rPr>
              <w:t>2</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TOFU</w:t>
              <w:br/>
              <w:t>One small evening session</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TOFU</w:t>
              <w:br/>
              <w:t>A familiar price-change question</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TOFU</w:t>
              <w:br/>
              <w:t>Jorhat with a sourced local detail</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MOFU</w:t>
              <w:br/>
              <w:t>Explain the percentage-base mistake</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BOFU</w:t>
              <w:br/>
              <w:t>Compare current practice plans</w:t>
            </w:r>
          </w:p>
        </w:tc>
      </w:tr>
      <w:tr>
        <w:trPr>
          <w:cantSplit/>
        </w:trPr>
        <w:tc>
          <w:tcPr>
            <w:tcW w:type="dxa" w:w="576"/>
            <w:vAlign w:val="center"/>
            <w:shd w:fill="FFFFFF"/>
            <w:tcMar>
              <w:top w:w="85" w:type="dxa"/>
              <w:bottom w:w="85" w:type="dxa"/>
              <w:left w:w="110" w:type="dxa"/>
              <w:right w:w="110" w:type="dxa"/>
            </w:tcMar>
          </w:tcPr>
          <w:p>
            <w:pPr>
              <w:spacing w:after="0" w:line="245" w:lineRule="auto"/>
            </w:pPr>
            <w:r>
              <w:rPr>
                <w:b w:val="0"/>
                <w:color w:val="000000"/>
                <w:sz w:val="20"/>
              </w:rPr>
              <w:t>3</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TOFU</w:t>
              <w:br/>
              <w:t>A realistic study-partner scene</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MOFU</w:t>
              <w:br/>
              <w:t>A viewer's question explained</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TOFU</w:t>
              <w:br/>
              <w:t>A festival feature with context</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MOFU</w:t>
              <w:br/>
              <w:t>A genuine mock-review checklist</w:t>
            </w:r>
          </w:p>
        </w:tc>
        <w:tc>
          <w:tcPr>
            <w:tcW w:type="dxa" w:w="1872"/>
            <w:vAlign w:val="center"/>
            <w:shd w:fill="FFFFFF"/>
            <w:tcMar>
              <w:top w:w="85" w:type="dxa"/>
              <w:bottom w:w="85" w:type="dxa"/>
              <w:left w:w="110" w:type="dxa"/>
              <w:right w:w="110" w:type="dxa"/>
            </w:tcMar>
          </w:tcPr>
          <w:p>
            <w:pPr>
              <w:spacing w:after="0" w:line="245" w:lineRule="auto"/>
            </w:pPr>
            <w:r>
              <w:rPr>
                <w:b w:val="0"/>
                <w:color w:val="000000"/>
                <w:sz w:val="20"/>
              </w:rPr>
              <w:t>BOFU</w:t>
              <w:br/>
              <w:t>Document Vault demo and enquiry</w:t>
            </w:r>
          </w:p>
        </w:tc>
      </w:tr>
      <w:tr>
        <w:trPr>
          <w:cantSplit/>
        </w:trPr>
        <w:tc>
          <w:tcPr>
            <w:tcW w:type="dxa" w:w="576"/>
            <w:vAlign w:val="center"/>
            <w:shd w:fill="F4F4F4"/>
            <w:tcMar>
              <w:top w:w="85" w:type="dxa"/>
              <w:bottom w:w="85" w:type="dxa"/>
              <w:left w:w="110" w:type="dxa"/>
              <w:right w:w="110" w:type="dxa"/>
            </w:tcMar>
          </w:tcPr>
          <w:p>
            <w:pPr>
              <w:spacing w:after="0" w:line="245" w:lineRule="auto"/>
            </w:pPr>
            <w:r>
              <w:rPr>
                <w:b w:val="0"/>
                <w:color w:val="000000"/>
                <w:sz w:val="20"/>
              </w:rPr>
              <w:t>4</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TOFU</w:t>
              <w:br/>
              <w:t>One permitted study-corner feature</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TOFU</w:t>
              <w:br/>
              <w:t>An approachable revision challenge</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TOFU</w:t>
              <w:br/>
              <w:t>A viewer-requested place</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MOFU</w:t>
              <w:br/>
              <w:t>Explain the revision answers</w:t>
            </w:r>
          </w:p>
        </w:tc>
        <w:tc>
          <w:tcPr>
            <w:tcW w:type="dxa" w:w="1872"/>
            <w:vAlign w:val="center"/>
            <w:shd w:fill="F4F4F4"/>
            <w:tcMar>
              <w:top w:w="85" w:type="dxa"/>
              <w:bottom w:w="85" w:type="dxa"/>
              <w:left w:w="110" w:type="dxa"/>
              <w:right w:w="110" w:type="dxa"/>
            </w:tcMar>
          </w:tcPr>
          <w:p>
            <w:pPr>
              <w:spacing w:after="0" w:line="245" w:lineRule="auto"/>
            </w:pPr>
            <w:r>
              <w:rPr>
                <w:b w:val="0"/>
                <w:color w:val="000000"/>
                <w:sz w:val="20"/>
              </w:rPr>
              <w:t>BOFU</w:t>
              <w:br/>
              <w:t>Plan FAQ and current access CTA</w:t>
            </w:r>
          </w:p>
        </w:tc>
      </w:tr>
    </w:tbl>
    <w:p>
      <w:pPr>
        <w:spacing w:after="0"/>
      </w:pPr>
    </w:p>
    <w:p>
      <w:r>
        <w:rPr>
          <w:b/>
        </w:rPr>
        <w:t>Monthly total: 10 TOFU, 6 MOFU, 4 BOFU. Week 1 and week 3 each contain 2 TOFU, 2 MOFU, 1 BOFU. Week 2 and week 4 each contain 3 TOFU, 1 MOFU, 1 BOFU.</w:t>
      </w:r>
    </w:p>
    <w:p>
      <w:pPr>
        <w:pStyle w:val="Heading2"/>
      </w:pPr>
      <w:r>
        <w:t>Story rhythm</w:t>
      </w:r>
    </w:p>
    <w:p>
      <w:r>
        <w:rPr>
          <w:b w:val="0"/>
        </w:rPr>
        <w:t>On a question day, run a poll and later explain the answer. On a story day, ask one specific study question. Use the weekend to gather topic requests and share the next practice task. Publish personal features only after the contributor agrees.</w:t>
      </w:r>
    </w:p>
    <w:p>
      <w:pPr>
        <w:pStyle w:val="Heading2"/>
      </w:pPr>
      <w:r>
        <w:t>Batch the work</w:t>
      </w:r>
    </w:p>
    <w:p>
      <w:r>
        <w:rPr>
          <w:b w:val="0"/>
        </w:rPr>
        <w:t>Collect topic requests and check sources before recording. Film the two Reels in one session where practical. Write and design the carousels together. Review answers, language, and links before scheduling. Reserve a short daily slot for replies and corrections.</w:t>
      </w:r>
    </w:p>
    <w:p>
      <w:pPr>
        <w:pStyle w:val="Heading2"/>
      </w:pPr>
      <w:r>
        <w:t>When there is less time</w:t>
      </w:r>
    </w:p>
    <w:p>
      <w:r>
        <w:rPr>
          <w:b w:val="0"/>
        </w:rPr>
        <w:t>Replace a filmed scene with a simple voiceover or a carousel serving the same funnel stage. If capacity requires fewer posts, spread the 20-post cycle over more weeks. Preserve 10 TOFU, 6 MOFU, and 4 BOFU rather than adding rushed material to fill the week.</w:t>
      </w:r>
    </w:p>
    <w:p>
      <w:pPr>
        <w:pStyle w:val="Heading2"/>
      </w:pPr>
      <w:r>
        <w:t>The first 30 days</w:t>
      </w:r>
    </w:p>
    <w:p>
      <w:r>
        <w:rPr>
          <w:b w:val="0"/>
        </w:rPr>
        <w:t>Use the first four weeks for the 20 main posts above. Use the final two days to review what people shared, saved, asked, practised, and purchased or enquired about where measurable. Carry the strongest recurring formats into the next monthly 20-post cycle.</w:t>
      </w:r>
    </w:p>
    <w:p>
      <w:r>
        <w:br w:type="page"/>
      </w:r>
    </w:p>
    <w:p>
      <w:pPr>
        <w:pStyle w:val="Heading1"/>
      </w:pPr>
      <w:r>
        <w:t>Grow through evidence and useful distribution</w:t>
      </w:r>
    </w:p>
    <w:p>
      <w:pPr>
        <w:pStyle w:val="Heading2"/>
      </w:pPr>
      <w:r>
        <w:t>Measure each format against its purpose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4608"/>
        <w:gridCol w:w="3888"/>
      </w:tblGrid>
      <w:tr>
        <w:trPr>
          <w:tblHeader/>
        </w:trPr>
        <w:tc>
          <w:tcPr>
            <w:tcW w:type="dxa" w:w="1440"/>
            <w:vAlign w:val="center"/>
            <w:shd w:fill="292929"/>
            <w:tcMar>
              <w:top w:w="85" w:type="dxa"/>
              <w:bottom w:w="85" w:type="dxa"/>
              <w:left w:w="110" w:type="dxa"/>
              <w:right w:w="110" w:type="dxa"/>
            </w:tcMar>
          </w:tcPr>
          <w:p>
            <w:pPr>
              <w:spacing w:after="0" w:line="245" w:lineRule="auto"/>
            </w:pPr>
            <w:r>
              <w:rPr>
                <w:b/>
                <w:color w:val="FFFFFF"/>
                <w:sz w:val="20"/>
              </w:rPr>
              <w:t>Funnel stage</w:t>
            </w:r>
          </w:p>
        </w:tc>
        <w:tc>
          <w:tcPr>
            <w:tcW w:type="dxa" w:w="4608"/>
            <w:vAlign w:val="center"/>
            <w:shd w:fill="292929"/>
            <w:tcMar>
              <w:top w:w="85" w:type="dxa"/>
              <w:bottom w:w="85" w:type="dxa"/>
              <w:left w:w="110" w:type="dxa"/>
              <w:right w:w="110" w:type="dxa"/>
            </w:tcMar>
          </w:tcPr>
          <w:p>
            <w:pPr>
              <w:spacing w:after="0" w:line="245" w:lineRule="auto"/>
            </w:pPr>
            <w:r>
              <w:rPr>
                <w:b/>
                <w:color w:val="FFFFFF"/>
                <w:sz w:val="20"/>
              </w:rPr>
              <w:t>What to record</w:t>
            </w:r>
          </w:p>
        </w:tc>
        <w:tc>
          <w:tcPr>
            <w:tcW w:type="dxa" w:w="3888"/>
            <w:vAlign w:val="center"/>
            <w:shd w:fill="292929"/>
            <w:tcMar>
              <w:top w:w="85" w:type="dxa"/>
              <w:bottom w:w="85" w:type="dxa"/>
              <w:left w:w="110" w:type="dxa"/>
              <w:right w:w="110" w:type="dxa"/>
            </w:tcMar>
          </w:tcPr>
          <w:p>
            <w:pPr>
              <w:spacing w:after="0" w:line="245" w:lineRule="auto"/>
            </w:pPr>
            <w:r>
              <w:rPr>
                <w:b/>
                <w:color w:val="FFFFFF"/>
                <w:sz w:val="20"/>
              </w:rPr>
              <w:t>What it tells us</w:t>
            </w:r>
          </w:p>
        </w:tc>
      </w:tr>
      <w:tr>
        <w:trPr>
          <w:cantSplit/>
        </w:trPr>
        <w:tc>
          <w:tcPr>
            <w:tcW w:type="dxa" w:w="1440"/>
            <w:vAlign w:val="center"/>
            <w:shd w:fill="FFFFFF"/>
            <w:tcMar>
              <w:top w:w="85" w:type="dxa"/>
              <w:bottom w:w="85" w:type="dxa"/>
              <w:left w:w="110" w:type="dxa"/>
              <w:right w:w="110" w:type="dxa"/>
            </w:tcMar>
          </w:tcPr>
          <w:p>
            <w:pPr>
              <w:spacing w:after="0" w:line="245" w:lineRule="auto"/>
            </w:pPr>
            <w:r>
              <w:rPr>
                <w:b w:val="0"/>
                <w:color w:val="000000"/>
                <w:sz w:val="20"/>
              </w:rPr>
              <w:t>TOFU</w:t>
            </w:r>
          </w:p>
        </w:tc>
        <w:tc>
          <w:tcPr>
            <w:tcW w:type="dxa" w:w="4608"/>
            <w:vAlign w:val="center"/>
            <w:shd w:fill="FFFFFF"/>
            <w:tcMar>
              <w:top w:w="85" w:type="dxa"/>
              <w:bottom w:w="85" w:type="dxa"/>
              <w:left w:w="110" w:type="dxa"/>
              <w:right w:w="110" w:type="dxa"/>
            </w:tcMar>
          </w:tcPr>
          <w:p>
            <w:pPr>
              <w:spacing w:after="0" w:line="245" w:lineRule="auto"/>
            </w:pPr>
            <w:r>
              <w:rPr>
                <w:b w:val="0"/>
                <w:color w:val="000000"/>
                <w:sz w:val="20"/>
              </w:rPr>
              <w:t>Reach, non-follower reach where available, shares, profile visits, and follows.</w:t>
            </w:r>
          </w:p>
        </w:tc>
        <w:tc>
          <w:tcPr>
            <w:tcW w:type="dxa" w:w="3888"/>
            <w:vAlign w:val="center"/>
            <w:shd w:fill="FFFFFF"/>
            <w:tcMar>
              <w:top w:w="85" w:type="dxa"/>
              <w:bottom w:w="85" w:type="dxa"/>
              <w:left w:w="110" w:type="dxa"/>
              <w:right w:w="110" w:type="dxa"/>
            </w:tcMar>
          </w:tcPr>
          <w:p>
            <w:pPr>
              <w:spacing w:after="0" w:line="245" w:lineRule="auto"/>
            </w:pPr>
            <w:r>
              <w:rPr>
                <w:b w:val="0"/>
                <w:color w:val="000000"/>
                <w:sz w:val="20"/>
              </w:rPr>
              <w:t>Whether the account attracts people who care about the content.</w:t>
            </w:r>
          </w:p>
        </w:tc>
      </w:tr>
      <w:tr>
        <w:trPr>
          <w:cantSplit/>
        </w:trPr>
        <w:tc>
          <w:tcPr>
            <w:tcW w:type="dxa" w:w="1440"/>
            <w:vAlign w:val="center"/>
            <w:shd w:fill="F4F4F4"/>
            <w:tcMar>
              <w:top w:w="85" w:type="dxa"/>
              <w:bottom w:w="85" w:type="dxa"/>
              <w:left w:w="110" w:type="dxa"/>
              <w:right w:w="110" w:type="dxa"/>
            </w:tcMar>
          </w:tcPr>
          <w:p>
            <w:pPr>
              <w:spacing w:after="0" w:line="245" w:lineRule="auto"/>
            </w:pPr>
            <w:r>
              <w:rPr>
                <w:b w:val="0"/>
                <w:color w:val="000000"/>
                <w:sz w:val="20"/>
              </w:rPr>
              <w:t>MOFU</w:t>
            </w:r>
          </w:p>
        </w:tc>
        <w:tc>
          <w:tcPr>
            <w:tcW w:type="dxa" w:w="4608"/>
            <w:vAlign w:val="center"/>
            <w:shd w:fill="F4F4F4"/>
            <w:tcMar>
              <w:top w:w="85" w:type="dxa"/>
              <w:bottom w:w="85" w:type="dxa"/>
              <w:left w:w="110" w:type="dxa"/>
              <w:right w:w="110" w:type="dxa"/>
            </w:tcMar>
          </w:tcPr>
          <w:p>
            <w:pPr>
              <w:spacing w:after="0" w:line="245" w:lineRule="auto"/>
            </w:pPr>
            <w:r>
              <w:rPr>
                <w:b w:val="0"/>
                <w:color w:val="000000"/>
                <w:sz w:val="20"/>
              </w:rPr>
              <w:t>Saves, useful questions, repeat participation, tracked practice visits, and test starts.</w:t>
            </w:r>
          </w:p>
        </w:tc>
        <w:tc>
          <w:tcPr>
            <w:tcW w:type="dxa" w:w="3888"/>
            <w:vAlign w:val="center"/>
            <w:shd w:fill="F4F4F4"/>
            <w:tcMar>
              <w:top w:w="85" w:type="dxa"/>
              <w:bottom w:w="85" w:type="dxa"/>
              <w:left w:w="110" w:type="dxa"/>
              <w:right w:w="110" w:type="dxa"/>
            </w:tcMar>
          </w:tcPr>
          <w:p>
            <w:pPr>
              <w:spacing w:after="0" w:line="245" w:lineRule="auto"/>
            </w:pPr>
            <w:r>
              <w:rPr>
                <w:b w:val="0"/>
                <w:color w:val="000000"/>
                <w:sz w:val="20"/>
              </w:rPr>
              <w:t>Whether interested viewers experience and return to the learning value.</w:t>
            </w:r>
          </w:p>
        </w:tc>
      </w:tr>
      <w:tr>
        <w:trPr>
          <w:cantSplit/>
        </w:trPr>
        <w:tc>
          <w:tcPr>
            <w:tcW w:type="dxa" w:w="1440"/>
            <w:vAlign w:val="center"/>
            <w:shd w:fill="FFFFFF"/>
            <w:tcMar>
              <w:top w:w="85" w:type="dxa"/>
              <w:bottom w:w="85" w:type="dxa"/>
              <w:left w:w="110" w:type="dxa"/>
              <w:right w:w="110" w:type="dxa"/>
            </w:tcMar>
          </w:tcPr>
          <w:p>
            <w:pPr>
              <w:spacing w:after="0" w:line="245" w:lineRule="auto"/>
            </w:pPr>
            <w:r>
              <w:rPr>
                <w:b w:val="0"/>
                <w:color w:val="000000"/>
                <w:sz w:val="20"/>
              </w:rPr>
              <w:t>BOFU</w:t>
            </w:r>
          </w:p>
        </w:tc>
        <w:tc>
          <w:tcPr>
            <w:tcW w:type="dxa" w:w="4608"/>
            <w:vAlign w:val="center"/>
            <w:shd w:fill="FFFFFF"/>
            <w:tcMar>
              <w:top w:w="85" w:type="dxa"/>
              <w:bottom w:w="85" w:type="dxa"/>
              <w:left w:w="110" w:type="dxa"/>
              <w:right w:w="110" w:type="dxa"/>
            </w:tcMar>
          </w:tcPr>
          <w:p>
            <w:pPr>
              <w:spacing w:after="0" w:line="245" w:lineRule="auto"/>
            </w:pPr>
            <w:r>
              <w:rPr>
                <w:b w:val="0"/>
                <w:color w:val="000000"/>
                <w:sz w:val="20"/>
              </w:rPr>
              <w:t>Relevant enquiries, plan-page visits, available checkout data, and actual purchases or completed target actions.</w:t>
            </w:r>
          </w:p>
        </w:tc>
        <w:tc>
          <w:tcPr>
            <w:tcW w:type="dxa" w:w="3888"/>
            <w:vAlign w:val="center"/>
            <w:shd w:fill="FFFFFF"/>
            <w:tcMar>
              <w:top w:w="85" w:type="dxa"/>
              <w:bottom w:w="85" w:type="dxa"/>
              <w:left w:w="110" w:type="dxa"/>
              <w:right w:w="110" w:type="dxa"/>
            </w:tcMar>
          </w:tcPr>
          <w:p>
            <w:pPr>
              <w:spacing w:after="0" w:line="245" w:lineRule="auto"/>
            </w:pPr>
            <w:r>
              <w:rPr>
                <w:b w:val="0"/>
                <w:color w:val="000000"/>
                <w:sz w:val="20"/>
              </w:rPr>
              <w:t>Whether an interested student takes the action the offer asks for.</w:t>
            </w:r>
          </w:p>
        </w:tc>
      </w:tr>
    </w:tbl>
    <w:p>
      <w:pPr>
        <w:spacing w:after="0"/>
      </w:pPr>
    </w:p>
    <w:p>
      <w:r>
        <w:rPr>
          <w:b w:val="0"/>
        </w:rPr>
        <w:t>Compare similar formats over several posts. Record raw counts alongside rates when available; a small audience can make percentages unstable. Do not set a promised follower count or sales outcome before a baseline exists.</w:t>
      </w:r>
    </w:p>
    <w:p>
      <w:pPr>
        <w:pStyle w:val="Heading2"/>
      </w:pPr>
      <w:r>
        <w:t>Keep a simple weekly log</w:t>
      </w:r>
    </w:p>
    <w:p>
      <w:r>
        <w:rPr>
          <w:b w:val="0"/>
        </w:rPr>
        <w:t>For each post, record its funnel stage, topic, format, reach, shares, saves, useful replies, and destination activity where measurable. Use the same observation window, such as seven days after publication. Count each post once and confirm the monthly total is 10 TOFU, 6 MOFU, and 4 BOFU. Record one lesson and one next experiment.</w:t>
      </w:r>
    </w:p>
    <w:p>
      <w:pPr>
        <w:pStyle w:val="Heading2"/>
      </w:pPr>
      <w:r>
        <w:t>Test one clear difference</w:t>
      </w:r>
    </w:p>
    <w:p>
      <w:r>
        <w:rPr>
          <w:b w:val="0"/>
        </w:rPr>
        <w:t>Try a question-first hook against a student-situation hook across comparable lessons. Then try a sourced local story against a general GK card. Keep the topic difficulty, CTA, and observation period similar where possible. Repeat useful patterns before declaring a winner.</w:t>
      </w:r>
    </w:p>
    <w:p>
      <w:pPr>
        <w:pStyle w:val="Heading2"/>
      </w:pPr>
      <w:r>
        <w:t>Distribute where the topic belongs</w:t>
      </w:r>
    </w:p>
    <w:p>
      <w:r>
        <w:rPr>
          <w:b w:val="0"/>
        </w:rPr>
        <w:t>Reuse the lesson on Facebook and the relevant question on a WhatsApp Channel when those channels are active. Share into groups only with permission and relevance. Avoid repeated unsolicited messages. A collaborator can introduce a post to the people most likely to care about it.</w:t>
      </w:r>
    </w:p>
    <w:p>
      <w:pPr>
        <w:pStyle w:val="Heading2"/>
      </w:pPr>
      <w:r>
        <w:t>Diagnose the next step</w:t>
      </w:r>
    </w:p>
    <w:p>
      <w:r>
        <w:rPr>
          <w:b w:val="0"/>
        </w:rPr>
        <w:t>If a post reaches people but brings few profile visits, make the AxomRank connection clearer. If people visit but do not practise, check the destination and first task. If they practise once, make the next session easy to find. Improve the experience behind the content.</w:t>
      </w:r>
    </w:p>
    <w:p>
      <w:r>
        <w:br w:type="page"/>
      </w:r>
    </w:p>
    <w:p>
      <w:pPr>
        <w:pStyle w:val="Heading1"/>
      </w:pPr>
      <w:r>
        <w:t>The next ninety days</w:t>
      </w:r>
    </w:p>
    <w:p>
      <w:pPr>
        <w:pStyle w:val="Heading2"/>
      </w:pPr>
      <w:r>
        <w:t>Days 1 to 30 establish recognition</w:t>
      </w:r>
    </w:p>
    <w:p>
      <w:r>
        <w:rPr>
          <w:b w:val="0"/>
        </w:rPr>
        <w:t>Clarify the profile, publish the pinned posts, and run the first 20-post cycle: 10 TOFU, 6 MOFU, and 4 BOFU. Listen to aspirants and test the student-story, learning, and Assam-knowledge series. Introduce actual product actions from the first month.</w:t>
      </w:r>
    </w:p>
    <w:p>
      <w:pPr>
        <w:pStyle w:val="Heading2"/>
      </w:pPr>
      <w:r>
        <w:t>Days 31 to 60 build participation</w:t>
      </w:r>
    </w:p>
    <w:p>
      <w:r>
        <w:rPr>
          <w:b w:val="0"/>
        </w:rPr>
        <w:t>Run a second 20-post cycle with the same allocation. Repeat the formats that earned meaningful responses. Introduce a viewer-led lesson and a permitted student feature. Complete one relevant collaboration and expand the local-story rotation using contributor knowledge.</w:t>
      </w:r>
    </w:p>
    <w:p>
      <w:pPr>
        <w:pStyle w:val="Heading2"/>
      </w:pPr>
      <w:r>
        <w:t>Days 61 to 90 deepen the learning habit</w:t>
      </w:r>
    </w:p>
    <w:p>
      <w:r>
        <w:rPr>
          <w:b w:val="0"/>
        </w:rPr>
        <w:t>Run the third 20-post cycle with the same allocation. Build a predictable practice invitation, use genuine results where available, and make relevant offers. Across the three cycles, the planned total is 30 TOFU, 18 MOFU, and 12 BOFU posts. Keep a clear route from a social question to the relevant product action.</w:t>
      </w:r>
    </w:p>
    <w:p>
      <w:pPr>
        <w:pStyle w:val="Heading2"/>
      </w:pPr>
      <w:r>
        <w:t>The publication check</w:t>
      </w:r>
    </w:p>
    <w:p>
      <w:r>
        <w:rPr>
          <w:b w:val="0"/>
        </w:rPr>
        <w:t>Does the post have one clear funnel stage and CTA? Does it give a useful lesson, a recognisable situation, or a meaningful invitation? Are facts and answers checked? Is the language natural? Is every identifiable contribution permitted? Is the design readable on a phone? Does the destination work? Are product claims accurate?</w:t>
      </w:r>
    </w:p>
    <w:p>
      <w:pPr>
        <w:pStyle w:val="Heading2"/>
      </w:pPr>
      <w:r>
        <w:t>What must remain consistent</w:t>
      </w:r>
    </w:p>
    <w:p>
      <w:r>
        <w:rPr>
          <w:b w:val="0"/>
        </w:rPr>
        <w:t>Keep the Rang Ghar mark, maroon and ivory visual language, respectful teaching voice, and clear question labels. Use the emotional campaign line where a story calls for it. Use the established product tagline where the preparation offer calls for it.</w:t>
      </w:r>
    </w:p>
    <w:p>
      <w:pPr>
        <w:pStyle w:val="Heading2"/>
      </w:pPr>
      <w:r>
        <w:t>Source and application notes</w:t>
      </w:r>
    </w:p>
    <w:p>
      <w:r>
        <w:rPr>
          <w:b w:val="0"/>
        </w:rPr>
        <w:t>Account observations come from the supplied screenshot dated 9 October 2026. The visible follower count, bio, highlights, and grid are treated as a snapshot. The strategy does not infer reach, engagement, audience location, or conversion from that image.</w:t>
      </w:r>
    </w:p>
    <w:p>
      <w:r>
        <w:rPr>
          <w:b w:val="0"/>
        </w:rPr>
        <w:t>Brand foundations come from the supplied AxomRank Social Media and Brand Strategy, September 2026, and logo-2.jpg. The revised content mix, series, scripts, and first-month schedule are proposed for this community launch.</w:t>
      </w:r>
    </w:p>
    <w:p>
      <w:r>
        <w:rPr>
          <w:b w:val="0"/>
        </w:rPr>
        <w:t>The existing brand identity guide and carousel calendar can support production. Local-history and festival posts still need their episode-specific sources. Product demonstrations should use the live interface and current access details.</w:t>
      </w:r>
    </w:p>
    <w:sectPr w:rsidR="00FC693F" w:rsidRPr="0006063C" w:rsidSect="00034616">
      <w:footerReference w:type="default" r:id="rId9"/>
      <w:pgSz w:w="12240" w:h="15840"/>
      <w:pgMar w:top="1008" w:right="1152" w:bottom="936" w:left="1152"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AXOMRANK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Arial" w:hAnsi="Arial" w:eastAsia="Noto Sans Bengal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eastAsia="Noto Sans Bengal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Noto Sans Bengal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Noto Sans Bengal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Noto Sans Bengal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AxomRank Instagram Content Strategy for Assam</dc:title>
  <dc:subject/>
  <dc:creator>AxomRank</dc:creator>
  <cp:keywords/>
  <dc:description>generated by python-docx</dc:description>
  <cp:lastModifiedBy/>
  <cp:revision>1</cp:revision>
  <dcterms:created xsi:type="dcterms:W3CDTF">2013-12-23T23:15:00Z</dcterms:created>
  <dcterms:modified xsi:type="dcterms:W3CDTF">2013-12-23T23:15:00Z</dcterms:modified>
  <cp:category/>
</cp:coreProperties>
</file>