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Études terrain et étude de marché</w:t>
      </w:r>
    </w:p>
    <w:p>
      <w:r>
        <w:rPr>
          <w:color w:val="E76F51"/>
          <w:sz w:val="26"/>
        </w:rPr>
        <w:t>Entretiens, questionnaire en ligne et dimensionnement du marché</w:t>
      </w:r>
    </w:p>
    <w:p>
      <w:r>
        <w:rPr>
          <w:color w:val="6B7280"/>
        </w:rPr>
        <w:t>Détection de régimes de marché par IA — Groupe 1 — #PFE27-P-3549 — Coach : Francesco Pandolfi</w:t>
      </w:r>
    </w:p>
    <w:tbl>
      <w:tblPr>
        <w:tblW w:type="auto" w:w="0"/>
        <w:jc w:val="center"/>
        <w:tblLook w:firstColumn="1" w:firstRow="1" w:lastColumn="0" w:lastRow="0" w:noHBand="0" w:noVBand="1" w:val="04A0"/>
      </w:tblPr>
      <w:tblGrid>
        <w:gridCol w:w="9972"/>
      </w:tblGrid>
      <w:tr>
        <w:tc>
          <w:tcPr>
            <w:tcW w:type="dxa" w:w="9972"/>
            <w:shd w:val="clear" w:color="auto" w:fill="FDECEA"/>
          </w:tcPr>
          <w:p>
            <w:r>
              <w:rPr>
                <w:b/>
                <w:color w:val="C0392B"/>
              </w:rPr>
              <w:t>⚠ DONNÉES FICTIVES</w:t>
            </w:r>
          </w:p>
          <w:p>
            <w:r>
              <w:t>Toutes les données de ce document (personnes interrogées, réponses, pourcentages, tailles de marché hors TAM) sont inventées pour préparer la soutenance blanche. Elles sont cohérentes avec votre portfolio J1, mais ne doivent en aucun cas être présentées comme réelles. Utilisez ce document comme modèle : mêmes questions, mêmes tableaux, avec vos vraies réponses.</w:t>
            </w:r>
          </w:p>
        </w:tc>
      </w:tr>
    </w:tbl>
    <w:p/>
    <w:p>
      <w:pPr>
        <w:pStyle w:val="Heading1"/>
      </w:pPr>
      <w:r>
        <w:t>1. Entretiens qualitatifs</w:t>
      </w:r>
    </w:p>
    <w:p>
      <w:pPr>
        <w:pStyle w:val="Heading2"/>
      </w:pPr>
      <w:r>
        <w:t>Protocole</w:t>
      </w:r>
    </w:p>
    <w:tbl>
      <w:tblPr>
        <w:tblStyle w:val="TableGrid"/>
        <w:tblW w:type="auto" w:w="0"/>
        <w:tblLook w:firstColumn="1" w:firstRow="1" w:lastColumn="0" w:lastRow="0" w:noHBand="0" w:noVBand="1" w:val="04A0"/>
      </w:tblPr>
      <w:tblGrid>
        <w:gridCol w:w="4986"/>
        <w:gridCol w:w="4986"/>
      </w:tblGrid>
      <w:tr>
        <w:tc>
          <w:tcPr>
            <w:tcW w:type="dxa" w:w="1984"/>
            <w:shd w:val="clear" w:color="auto" w:fill="1F3A5F"/>
          </w:tcPr>
          <w:p>
            <w:r/>
            <w:r>
              <w:rPr>
                <w:b/>
                <w:color w:val="FFFFFF"/>
                <w:sz w:val="19"/>
              </w:rPr>
              <w:t>Élément</w:t>
            </w:r>
          </w:p>
        </w:tc>
        <w:tc>
          <w:tcPr>
            <w:tcW w:type="dxa" w:w="7654"/>
            <w:shd w:val="clear" w:color="auto" w:fill="1F3A5F"/>
          </w:tcPr>
          <w:p>
            <w:r/>
            <w:r>
              <w:rPr>
                <w:b/>
                <w:color w:val="FFFFFF"/>
                <w:sz w:val="19"/>
              </w:rPr>
              <w:t>Détail</w:t>
            </w:r>
          </w:p>
        </w:tc>
      </w:tr>
      <w:tr>
        <w:tc>
          <w:tcPr>
            <w:tcW w:type="dxa" w:w="1984"/>
            <w:shd w:val="clear" w:color="auto" w:fill="F3F4F6"/>
          </w:tcPr>
          <w:p>
            <w:r/>
            <w:r>
              <w:rPr>
                <w:sz w:val="19"/>
              </w:rPr>
              <w:t>Objectif</w:t>
            </w:r>
          </w:p>
        </w:tc>
        <w:tc>
          <w:tcPr>
            <w:tcW w:type="dxa" w:w="7654"/>
            <w:shd w:val="clear" w:color="auto" w:fill="F3F4F6"/>
          </w:tcPr>
          <w:p>
            <w:r/>
            <w:r>
              <w:rPr>
                <w:sz w:val="19"/>
              </w:rPr>
              <w:t>Tester H1 (douleur « décider trop tard / justifier »), H2 (rapport expliqué &gt; score brut), H3 (prêts à payer 3 000-15 000 €/an).</w:t>
            </w:r>
          </w:p>
        </w:tc>
      </w:tr>
      <w:tr>
        <w:tc>
          <w:tcPr>
            <w:tcW w:type="dxa" w:w="1984"/>
          </w:tcPr>
          <w:p>
            <w:r/>
            <w:r>
              <w:rPr>
                <w:sz w:val="19"/>
              </w:rPr>
              <w:t>Cible</w:t>
            </w:r>
          </w:p>
        </w:tc>
        <w:tc>
          <w:tcPr>
            <w:tcW w:type="dxa" w:w="7654"/>
          </w:tcPr>
          <w:p>
            <w:r/>
            <w:r>
              <w:rPr>
                <w:sz w:val="19"/>
              </w:rPr>
              <w:t>Gérants de SGP de 5 à 50 personnes, family offices, CGP / CIF premium, fonctions risque et conformité.</w:t>
            </w:r>
          </w:p>
        </w:tc>
      </w:tr>
      <w:tr>
        <w:tc>
          <w:tcPr>
            <w:tcW w:type="dxa" w:w="1984"/>
            <w:shd w:val="clear" w:color="auto" w:fill="F3F4F6"/>
          </w:tcPr>
          <w:p>
            <w:r/>
            <w:r>
              <w:rPr>
                <w:sz w:val="19"/>
              </w:rPr>
              <w:t>Recrutement</w:t>
            </w:r>
          </w:p>
        </w:tc>
        <w:tc>
          <w:tcPr>
            <w:tcW w:type="dxa" w:w="7654"/>
            <w:shd w:val="clear" w:color="auto" w:fill="F3F4F6"/>
          </w:tcPr>
          <w:p>
            <w:r/>
            <w:r>
              <w:rPr>
                <w:sz w:val="19"/>
              </w:rPr>
              <w:t>LinkedIn, AFG, associations de CIF, réseau de stages de l'équipe.</w:t>
            </w:r>
          </w:p>
        </w:tc>
      </w:tr>
      <w:tr>
        <w:tc>
          <w:tcPr>
            <w:tcW w:type="dxa" w:w="1984"/>
          </w:tcPr>
          <w:p>
            <w:r/>
            <w:r>
              <w:rPr>
                <w:sz w:val="19"/>
              </w:rPr>
              <w:t>Format</w:t>
            </w:r>
          </w:p>
        </w:tc>
        <w:tc>
          <w:tcPr>
            <w:tcW w:type="dxa" w:w="7654"/>
          </w:tcPr>
          <w:p>
            <w:r/>
            <w:r>
              <w:rPr>
                <w:sz w:val="19"/>
              </w:rPr>
              <w:t>20 minutes, visio ou téléphone, vraie note de comité (sortie du MVP) montrée à la minute 12.</w:t>
            </w:r>
          </w:p>
        </w:tc>
      </w:tr>
      <w:tr>
        <w:tc>
          <w:tcPr>
            <w:tcW w:type="dxa" w:w="1984"/>
            <w:shd w:val="clear" w:color="auto" w:fill="F3F4F6"/>
          </w:tcPr>
          <w:p>
            <w:r/>
            <w:r>
              <w:rPr>
                <w:sz w:val="19"/>
              </w:rPr>
              <w:t>Période</w:t>
            </w:r>
          </w:p>
        </w:tc>
        <w:tc>
          <w:tcPr>
            <w:tcW w:type="dxa" w:w="7654"/>
            <w:shd w:val="clear" w:color="auto" w:fill="F3F4F6"/>
          </w:tcPr>
          <w:p>
            <w:r/>
            <w:r>
              <w:rPr>
                <w:sz w:val="19"/>
              </w:rPr>
              <w:t>30/09 → 16/10/2026 ; 13 entretiens réalisés sur 15 prévus.</w:t>
            </w:r>
          </w:p>
        </w:tc>
      </w:tr>
      <w:tr>
        <w:tc>
          <w:tcPr>
            <w:tcW w:type="dxa" w:w="1984"/>
          </w:tcPr>
          <w:p>
            <w:r/>
            <w:r>
              <w:rPr>
                <w:sz w:val="19"/>
              </w:rPr>
              <w:t>Règle</w:t>
            </w:r>
          </w:p>
        </w:tc>
        <w:tc>
          <w:tcPr>
            <w:tcW w:type="dxa" w:w="7654"/>
          </w:tcPr>
          <w:p>
            <w:r/>
            <w:r>
              <w:rPr>
                <w:sz w:val="19"/>
              </w:rPr>
              <w:t>Ne jamais présenter la solution avant d'avoir fait parler de la douleur (questions 1 à 6).</w:t>
            </w:r>
          </w:p>
        </w:tc>
      </w:tr>
    </w:tbl>
    <w:p/>
    <w:p>
      <w:pPr>
        <w:pStyle w:val="Heading2"/>
      </w:pPr>
      <w:r>
        <w:t>Guide d'entretien (20 minutes)</w:t>
      </w:r>
    </w:p>
    <w:p>
      <w:r>
        <w:rPr>
          <w:b/>
          <w:i w:val="0"/>
          <w:color w:val="1F3A5F"/>
        </w:rPr>
        <w:t>Contexte (3 min)</w:t>
      </w:r>
    </w:p>
    <w:p>
      <w:pPr>
        <w:pStyle w:val="ListNumber"/>
      </w:pPr>
      <w:r>
        <w:t>Pouvez-vous décrire votre rôle et la taille de vos encours ?</w:t>
      </w:r>
    </w:p>
    <w:p>
      <w:pPr>
        <w:pStyle w:val="ListNumber"/>
      </w:pPr>
      <w:r>
        <w:t>Comment se déroule votre comité d'allocation (fréquence, participants) ?</w:t>
      </w:r>
    </w:p>
    <w:p>
      <w:r>
        <w:rPr>
          <w:b/>
          <w:i w:val="0"/>
          <w:color w:val="1F3A5F"/>
        </w:rPr>
        <w:t>Douleur — H1 (6 min)</w:t>
      </w:r>
    </w:p>
    <w:p>
      <w:pPr>
        <w:pStyle w:val="ListNumber"/>
      </w:pPr>
      <w:r>
        <w:t>Racontez-moi la dernière fois que vous avez réduit le risque en urgence. Qu'est-ce qui vous a fait décider ?</w:t>
      </w:r>
    </w:p>
    <w:p>
      <w:pPr>
        <w:pStyle w:val="ListNumber"/>
      </w:pPr>
      <w:r>
        <w:t>Avec le recul, combien de jours après le début de la baisse avez-vous agi ?</w:t>
      </w:r>
    </w:p>
    <w:p>
      <w:pPr>
        <w:pStyle w:val="ListNumber"/>
      </w:pPr>
      <w:r>
        <w:t>Comment avez-vous justifié cette décision auprès du comité ou des clients ?</w:t>
      </w:r>
    </w:p>
    <w:p>
      <w:pPr>
        <w:pStyle w:val="ListNumber"/>
      </w:pPr>
      <w:r>
        <w:t>Quels indicateurs suivez-vous, et combien de temps y passez-vous par semaine ?</w:t>
      </w:r>
    </w:p>
    <w:p>
      <w:r>
        <w:rPr>
          <w:b/>
          <w:i w:val="0"/>
          <w:color w:val="1F3A5F"/>
        </w:rPr>
        <w:t>Format — H2 (4 min)</w:t>
      </w:r>
    </w:p>
    <w:p>
      <w:pPr>
        <w:pStyle w:val="ListNumber"/>
      </w:pPr>
      <w:r>
        <w:t>Si vous receviez un seul document par semaine sur le climat de marché, que devrait-il contenir ?</w:t>
      </w:r>
    </w:p>
    <w:p>
      <w:pPr>
        <w:pStyle w:val="ListNumber"/>
      </w:pPr>
      <w:r>
        <w:t>Un score de 0 à 100 vous suffirait-il ? Pourquoi ?</w:t>
      </w:r>
    </w:p>
    <w:p>
      <w:r>
        <w:rPr>
          <w:b/>
          <w:i w:val="0"/>
          <w:color w:val="1F3A5F"/>
        </w:rPr>
        <w:t>Note de comité (4 min)</w:t>
      </w:r>
    </w:p>
    <w:p>
      <w:pPr>
        <w:pStyle w:val="ListNumber"/>
      </w:pPr>
      <w:r>
        <w:t>[Montrer la note] Qu'est-ce que vous comprenez en 10 secondes ?</w:t>
      </w:r>
    </w:p>
    <w:p>
      <w:pPr>
        <w:pStyle w:val="ListNumber"/>
      </w:pPr>
      <w:r>
        <w:t>Qu'est-ce qui vous manque ? Qu'est-ce qui est inutile ?</w:t>
      </w:r>
    </w:p>
    <w:p>
      <w:pPr>
        <w:pStyle w:val="ListNumber"/>
      </w:pPr>
      <w:r>
        <w:t>À partir de combien de fausses alertes par an arrêteriez-vous de le suivre ?</w:t>
      </w:r>
    </w:p>
    <w:p>
      <w:r>
        <w:rPr>
          <w:b/>
          <w:i w:val="0"/>
          <w:color w:val="1F3A5F"/>
        </w:rPr>
        <w:t>Prix — H3 (3 min)</w:t>
      </w:r>
    </w:p>
    <w:p>
      <w:pPr>
        <w:pStyle w:val="ListNumber"/>
      </w:pPr>
      <w:r>
        <w:t>Combien dépensez-vous aujourd'hui en données et recherche ?</w:t>
      </w:r>
    </w:p>
    <w:p>
      <w:pPr>
        <w:pStyle w:val="ListNumber"/>
      </w:pPr>
      <w:r>
        <w:t>À quel prix ce service serait-il trop cher ? Bon marché au point d'être suspect ? (Van Westendorp)</w:t>
      </w:r>
    </w:p>
    <w:p>
      <w:pPr>
        <w:pStyle w:val="ListNumber"/>
      </w:pPr>
      <w:r>
        <w:t>Seriez-vous d'accord pour tester le prototype en novembre ?</w:t>
      </w:r>
    </w:p>
    <w:p>
      <w:pPr>
        <w:pStyle w:val="Heading2"/>
      </w:pPr>
      <w:r>
        <w:t>Synthèse des 13 entretiens</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567"/>
            <w:shd w:val="clear" w:color="auto" w:fill="1F3A5F"/>
          </w:tcPr>
          <w:p>
            <w:r/>
            <w:r>
              <w:rPr>
                <w:b/>
                <w:color w:val="FFFFFF"/>
                <w:sz w:val="17"/>
              </w:rPr>
              <w:t>#</w:t>
            </w:r>
          </w:p>
        </w:tc>
        <w:tc>
          <w:tcPr>
            <w:tcW w:type="dxa" w:w="2041"/>
            <w:shd w:val="clear" w:color="auto" w:fill="1F3A5F"/>
          </w:tcPr>
          <w:p>
            <w:r/>
            <w:r>
              <w:rPr>
                <w:b/>
                <w:color w:val="FFFFFF"/>
                <w:sz w:val="17"/>
              </w:rPr>
              <w:t>Profil</w:t>
            </w:r>
          </w:p>
        </w:tc>
        <w:tc>
          <w:tcPr>
            <w:tcW w:type="dxa" w:w="1587"/>
            <w:shd w:val="clear" w:color="auto" w:fill="1F3A5F"/>
          </w:tcPr>
          <w:p>
            <w:r/>
            <w:r>
              <w:rPr>
                <w:b/>
                <w:color w:val="FFFFFF"/>
                <w:sz w:val="17"/>
              </w:rPr>
              <w:t>Structure</w:t>
            </w:r>
          </w:p>
        </w:tc>
        <w:tc>
          <w:tcPr>
            <w:tcW w:type="dxa" w:w="964"/>
            <w:shd w:val="clear" w:color="auto" w:fill="1F3A5F"/>
          </w:tcPr>
          <w:p>
            <w:r/>
            <w:r>
              <w:rPr>
                <w:b/>
                <w:color w:val="FFFFFF"/>
                <w:sz w:val="17"/>
              </w:rPr>
              <w:t>Encours</w:t>
            </w:r>
          </w:p>
        </w:tc>
        <w:tc>
          <w:tcPr>
            <w:tcW w:type="dxa" w:w="907"/>
            <w:shd w:val="clear" w:color="auto" w:fill="1F3A5F"/>
          </w:tcPr>
          <w:p>
            <w:r/>
            <w:r>
              <w:rPr>
                <w:b/>
                <w:color w:val="FFFFFF"/>
                <w:sz w:val="17"/>
              </w:rPr>
              <w:t>H1</w:t>
            </w:r>
          </w:p>
        </w:tc>
        <w:tc>
          <w:tcPr>
            <w:tcW w:type="dxa" w:w="907"/>
            <w:shd w:val="clear" w:color="auto" w:fill="1F3A5F"/>
          </w:tcPr>
          <w:p>
            <w:r/>
            <w:r>
              <w:rPr>
                <w:b/>
                <w:color w:val="FFFFFF"/>
                <w:sz w:val="17"/>
              </w:rPr>
              <w:t>H2</w:t>
            </w:r>
          </w:p>
        </w:tc>
        <w:tc>
          <w:tcPr>
            <w:tcW w:type="dxa" w:w="907"/>
            <w:shd w:val="clear" w:color="auto" w:fill="1F3A5F"/>
          </w:tcPr>
          <w:p>
            <w:r/>
            <w:r>
              <w:rPr>
                <w:b/>
                <w:color w:val="FFFFFF"/>
                <w:sz w:val="17"/>
              </w:rPr>
              <w:t>H3</w:t>
            </w:r>
          </w:p>
        </w:tc>
        <w:tc>
          <w:tcPr>
            <w:tcW w:type="dxa" w:w="850"/>
            <w:shd w:val="clear" w:color="auto" w:fill="1F3A5F"/>
          </w:tcPr>
          <w:p>
            <w:r/>
            <w:r>
              <w:rPr>
                <w:b/>
                <w:color w:val="FFFFFF"/>
                <w:sz w:val="17"/>
              </w:rPr>
              <w:t>Testeur</w:t>
            </w:r>
          </w:p>
        </w:tc>
        <w:tc>
          <w:tcPr>
            <w:tcW w:type="dxa" w:w="850"/>
            <w:shd w:val="clear" w:color="auto" w:fill="1F3A5F"/>
          </w:tcPr>
          <w:p>
            <w:r/>
            <w:r>
              <w:rPr>
                <w:b/>
                <w:color w:val="FFFFFF"/>
                <w:sz w:val="17"/>
              </w:rPr>
              <w:t>Payeur</w:t>
            </w:r>
          </w:p>
        </w:tc>
      </w:tr>
      <w:tr>
        <w:tc>
          <w:tcPr>
            <w:tcW w:type="dxa" w:w="567"/>
            <w:shd w:val="clear" w:color="auto" w:fill="F3F4F6"/>
          </w:tcPr>
          <w:p>
            <w:r/>
            <w:r>
              <w:rPr>
                <w:sz w:val="17"/>
              </w:rPr>
              <w:t>E01</w:t>
            </w:r>
          </w:p>
        </w:tc>
        <w:tc>
          <w:tcPr>
            <w:tcW w:type="dxa" w:w="2041"/>
            <w:shd w:val="clear" w:color="auto" w:fill="F3F4F6"/>
          </w:tcPr>
          <w:p>
            <w:r/>
            <w:r>
              <w:rPr>
                <w:sz w:val="17"/>
              </w:rPr>
              <w:t>Gérante multi-actifs</w:t>
            </w:r>
          </w:p>
        </w:tc>
        <w:tc>
          <w:tcPr>
            <w:tcW w:type="dxa" w:w="1587"/>
            <w:shd w:val="clear" w:color="auto" w:fill="F3F4F6"/>
          </w:tcPr>
          <w:p>
            <w:r/>
            <w:r>
              <w:rPr>
                <w:sz w:val="17"/>
              </w:rPr>
              <w:t>SGP 18 pers.</w:t>
            </w:r>
          </w:p>
        </w:tc>
        <w:tc>
          <w:tcPr>
            <w:tcW w:type="dxa" w:w="964"/>
            <w:shd w:val="clear" w:color="auto" w:fill="F3F4F6"/>
          </w:tcPr>
          <w:p>
            <w:r/>
            <w:r>
              <w:rPr>
                <w:sz w:val="17"/>
              </w:rPr>
              <w:t>520 M€</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850"/>
            <w:shd w:val="clear" w:color="auto" w:fill="F3F4F6"/>
          </w:tcPr>
          <w:p>
            <w:r/>
            <w:r>
              <w:rPr>
                <w:sz w:val="17"/>
              </w:rPr>
              <w:t>Oui</w:t>
            </w:r>
          </w:p>
        </w:tc>
        <w:tc>
          <w:tcPr>
            <w:tcW w:type="dxa" w:w="850"/>
            <w:shd w:val="clear" w:color="auto" w:fill="F3F4F6"/>
          </w:tcPr>
          <w:p>
            <w:r/>
            <w:r>
              <w:rPr>
                <w:sz w:val="17"/>
              </w:rPr>
              <w:t>Oui</w:t>
            </w:r>
          </w:p>
        </w:tc>
      </w:tr>
      <w:tr>
        <w:tc>
          <w:tcPr>
            <w:tcW w:type="dxa" w:w="567"/>
          </w:tcPr>
          <w:p>
            <w:r/>
            <w:r>
              <w:rPr>
                <w:sz w:val="17"/>
              </w:rPr>
              <w:t>E02</w:t>
            </w:r>
          </w:p>
        </w:tc>
        <w:tc>
          <w:tcPr>
            <w:tcW w:type="dxa" w:w="2041"/>
          </w:tcPr>
          <w:p>
            <w:r/>
            <w:r>
              <w:rPr>
                <w:sz w:val="17"/>
              </w:rPr>
              <w:t>CIO</w:t>
            </w:r>
          </w:p>
        </w:tc>
        <w:tc>
          <w:tcPr>
            <w:tcW w:type="dxa" w:w="1587"/>
          </w:tcPr>
          <w:p>
            <w:r/>
            <w:r>
              <w:rPr>
                <w:sz w:val="17"/>
              </w:rPr>
              <w:t>Family office</w:t>
            </w:r>
          </w:p>
        </w:tc>
        <w:tc>
          <w:tcPr>
            <w:tcW w:type="dxa" w:w="964"/>
          </w:tcPr>
          <w:p>
            <w:r/>
            <w:r>
              <w:rPr>
                <w:sz w:val="17"/>
              </w:rPr>
              <w:t>1,1 Md€</w:t>
            </w:r>
          </w:p>
        </w:tc>
        <w:tc>
          <w:tcPr>
            <w:tcW w:type="dxa" w:w="907"/>
          </w:tcPr>
          <w:p>
            <w:r/>
            <w:r>
              <w:rPr>
                <w:sz w:val="17"/>
              </w:rPr>
              <w:t>Validée</w:t>
            </w:r>
          </w:p>
        </w:tc>
        <w:tc>
          <w:tcPr>
            <w:tcW w:type="dxa" w:w="907"/>
          </w:tcPr>
          <w:p>
            <w:r/>
            <w:r>
              <w:rPr>
                <w:sz w:val="17"/>
              </w:rPr>
              <w:t>Validée</w:t>
            </w:r>
          </w:p>
        </w:tc>
        <w:tc>
          <w:tcPr>
            <w:tcW w:type="dxa" w:w="907"/>
          </w:tcPr>
          <w:p>
            <w:r/>
            <w:r>
              <w:rPr>
                <w:sz w:val="17"/>
              </w:rPr>
              <w:t>Partielle</w:t>
            </w:r>
          </w:p>
        </w:tc>
        <w:tc>
          <w:tcPr>
            <w:tcW w:type="dxa" w:w="850"/>
          </w:tcPr>
          <w:p>
            <w:r/>
            <w:r>
              <w:rPr>
                <w:sz w:val="17"/>
              </w:rPr>
              <w:t>Oui</w:t>
            </w:r>
          </w:p>
        </w:tc>
        <w:tc>
          <w:tcPr>
            <w:tcW w:type="dxa" w:w="850"/>
          </w:tcPr>
          <w:p>
            <w:r/>
            <w:r>
              <w:rPr>
                <w:sz w:val="17"/>
              </w:rPr>
              <w:t>—</w:t>
            </w:r>
          </w:p>
        </w:tc>
      </w:tr>
      <w:tr>
        <w:tc>
          <w:tcPr>
            <w:tcW w:type="dxa" w:w="567"/>
            <w:shd w:val="clear" w:color="auto" w:fill="F3F4F6"/>
          </w:tcPr>
          <w:p>
            <w:r/>
            <w:r>
              <w:rPr>
                <w:sz w:val="17"/>
              </w:rPr>
              <w:t>E03</w:t>
            </w:r>
          </w:p>
        </w:tc>
        <w:tc>
          <w:tcPr>
            <w:tcW w:type="dxa" w:w="2041"/>
            <w:shd w:val="clear" w:color="auto" w:fill="F3F4F6"/>
          </w:tcPr>
          <w:p>
            <w:r/>
            <w:r>
              <w:rPr>
                <w:sz w:val="17"/>
              </w:rPr>
              <w:t>Gérant actions/obligations</w:t>
            </w:r>
          </w:p>
        </w:tc>
        <w:tc>
          <w:tcPr>
            <w:tcW w:type="dxa" w:w="1587"/>
            <w:shd w:val="clear" w:color="auto" w:fill="F3F4F6"/>
          </w:tcPr>
          <w:p>
            <w:r/>
            <w:r>
              <w:rPr>
                <w:sz w:val="17"/>
              </w:rPr>
              <w:t>SGP 9 pers.</w:t>
            </w:r>
          </w:p>
        </w:tc>
        <w:tc>
          <w:tcPr>
            <w:tcW w:type="dxa" w:w="964"/>
            <w:shd w:val="clear" w:color="auto" w:fill="F3F4F6"/>
          </w:tcPr>
          <w:p>
            <w:r/>
            <w:r>
              <w:rPr>
                <w:sz w:val="17"/>
              </w:rPr>
              <w:t>180 M€</w:t>
            </w:r>
          </w:p>
        </w:tc>
        <w:tc>
          <w:tcPr>
            <w:tcW w:type="dxa" w:w="907"/>
            <w:shd w:val="clear" w:color="auto" w:fill="F3F4F6"/>
          </w:tcPr>
          <w:p>
            <w:r/>
            <w:r>
              <w:rPr>
                <w:sz w:val="17"/>
              </w:rPr>
              <w:t>Validée</w:t>
            </w:r>
          </w:p>
        </w:tc>
        <w:tc>
          <w:tcPr>
            <w:tcW w:type="dxa" w:w="907"/>
            <w:shd w:val="clear" w:color="auto" w:fill="F3F4F6"/>
          </w:tcPr>
          <w:p>
            <w:r/>
            <w:r>
              <w:rPr>
                <w:sz w:val="17"/>
              </w:rPr>
              <w:t>Partielle</w:t>
            </w:r>
          </w:p>
        </w:tc>
        <w:tc>
          <w:tcPr>
            <w:tcW w:type="dxa" w:w="907"/>
            <w:shd w:val="clear" w:color="auto" w:fill="F3F4F6"/>
          </w:tcPr>
          <w:p>
            <w:r/>
            <w:r>
              <w:rPr>
                <w:sz w:val="17"/>
              </w:rPr>
              <w:t>Partielle</w:t>
            </w:r>
          </w:p>
        </w:tc>
        <w:tc>
          <w:tcPr>
            <w:tcW w:type="dxa" w:w="850"/>
            <w:shd w:val="clear" w:color="auto" w:fill="F3F4F6"/>
          </w:tcPr>
          <w:p>
            <w:r/>
            <w:r>
              <w:rPr>
                <w:sz w:val="17"/>
              </w:rPr>
              <w:t>—</w:t>
            </w:r>
          </w:p>
        </w:tc>
        <w:tc>
          <w:tcPr>
            <w:tcW w:type="dxa" w:w="850"/>
            <w:shd w:val="clear" w:color="auto" w:fill="F3F4F6"/>
          </w:tcPr>
          <w:p>
            <w:r/>
            <w:r>
              <w:rPr>
                <w:sz w:val="17"/>
              </w:rPr>
              <w:t>—</w:t>
            </w:r>
          </w:p>
        </w:tc>
      </w:tr>
      <w:tr>
        <w:tc>
          <w:tcPr>
            <w:tcW w:type="dxa" w:w="567"/>
          </w:tcPr>
          <w:p>
            <w:r/>
            <w:r>
              <w:rPr>
                <w:sz w:val="17"/>
              </w:rPr>
              <w:t>E04</w:t>
            </w:r>
          </w:p>
        </w:tc>
        <w:tc>
          <w:tcPr>
            <w:tcW w:type="dxa" w:w="2041"/>
          </w:tcPr>
          <w:p>
            <w:r/>
            <w:r>
              <w:rPr>
                <w:sz w:val="17"/>
              </w:rPr>
              <w:t>Risk manager</w:t>
            </w:r>
          </w:p>
        </w:tc>
        <w:tc>
          <w:tcPr>
            <w:tcW w:type="dxa" w:w="1587"/>
          </w:tcPr>
          <w:p>
            <w:r/>
            <w:r>
              <w:rPr>
                <w:sz w:val="17"/>
              </w:rPr>
              <w:t>SGP 35 pers.</w:t>
            </w:r>
          </w:p>
        </w:tc>
        <w:tc>
          <w:tcPr>
            <w:tcW w:type="dxa" w:w="964"/>
          </w:tcPr>
          <w:p>
            <w:r/>
            <w:r>
              <w:rPr>
                <w:sz w:val="17"/>
              </w:rPr>
              <w:t>2,3 Md€</w:t>
            </w:r>
          </w:p>
        </w:tc>
        <w:tc>
          <w:tcPr>
            <w:tcW w:type="dxa" w:w="907"/>
          </w:tcPr>
          <w:p>
            <w:r/>
            <w:r>
              <w:rPr>
                <w:sz w:val="17"/>
              </w:rPr>
              <w:t>Partielle</w:t>
            </w:r>
          </w:p>
        </w:tc>
        <w:tc>
          <w:tcPr>
            <w:tcW w:type="dxa" w:w="907"/>
          </w:tcPr>
          <w:p>
            <w:r/>
            <w:r>
              <w:rPr>
                <w:sz w:val="17"/>
              </w:rPr>
              <w:t>Validée</w:t>
            </w:r>
          </w:p>
        </w:tc>
        <w:tc>
          <w:tcPr>
            <w:tcW w:type="dxa" w:w="907"/>
          </w:tcPr>
          <w:p>
            <w:r/>
            <w:r>
              <w:rPr>
                <w:sz w:val="17"/>
              </w:rPr>
              <w:t>Invalidée</w:t>
            </w:r>
          </w:p>
        </w:tc>
        <w:tc>
          <w:tcPr>
            <w:tcW w:type="dxa" w:w="850"/>
          </w:tcPr>
          <w:p>
            <w:r/>
            <w:r>
              <w:rPr>
                <w:sz w:val="17"/>
              </w:rPr>
              <w:t>Oui</w:t>
            </w:r>
          </w:p>
        </w:tc>
        <w:tc>
          <w:tcPr>
            <w:tcW w:type="dxa" w:w="850"/>
          </w:tcPr>
          <w:p>
            <w:r/>
            <w:r>
              <w:rPr>
                <w:sz w:val="17"/>
              </w:rPr>
              <w:t>—</w:t>
            </w:r>
          </w:p>
        </w:tc>
      </w:tr>
      <w:tr>
        <w:tc>
          <w:tcPr>
            <w:tcW w:type="dxa" w:w="567"/>
            <w:shd w:val="clear" w:color="auto" w:fill="F3F4F6"/>
          </w:tcPr>
          <w:p>
            <w:r/>
            <w:r>
              <w:rPr>
                <w:sz w:val="17"/>
              </w:rPr>
              <w:t>E05</w:t>
            </w:r>
          </w:p>
        </w:tc>
        <w:tc>
          <w:tcPr>
            <w:tcW w:type="dxa" w:w="2041"/>
            <w:shd w:val="clear" w:color="auto" w:fill="F3F4F6"/>
          </w:tcPr>
          <w:p>
            <w:r/>
            <w:r>
              <w:rPr>
                <w:sz w:val="17"/>
              </w:rPr>
              <w:t>Gérant patrimonial</w:t>
            </w:r>
          </w:p>
        </w:tc>
        <w:tc>
          <w:tcPr>
            <w:tcW w:type="dxa" w:w="1587"/>
            <w:shd w:val="clear" w:color="auto" w:fill="F3F4F6"/>
          </w:tcPr>
          <w:p>
            <w:r/>
            <w:r>
              <w:rPr>
                <w:sz w:val="17"/>
              </w:rPr>
              <w:t>Multi-family office</w:t>
            </w:r>
          </w:p>
        </w:tc>
        <w:tc>
          <w:tcPr>
            <w:tcW w:type="dxa" w:w="964"/>
            <w:shd w:val="clear" w:color="auto" w:fill="F3F4F6"/>
          </w:tcPr>
          <w:p>
            <w:r/>
            <w:r>
              <w:rPr>
                <w:sz w:val="17"/>
              </w:rPr>
              <w:t>650 M€</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850"/>
            <w:shd w:val="clear" w:color="auto" w:fill="F3F4F6"/>
          </w:tcPr>
          <w:p>
            <w:r/>
            <w:r>
              <w:rPr>
                <w:sz w:val="17"/>
              </w:rPr>
              <w:t>Oui</w:t>
            </w:r>
          </w:p>
        </w:tc>
        <w:tc>
          <w:tcPr>
            <w:tcW w:type="dxa" w:w="850"/>
            <w:shd w:val="clear" w:color="auto" w:fill="F3F4F6"/>
          </w:tcPr>
          <w:p>
            <w:r/>
            <w:r>
              <w:rPr>
                <w:sz w:val="17"/>
              </w:rPr>
              <w:t>Oui</w:t>
            </w:r>
          </w:p>
        </w:tc>
      </w:tr>
      <w:tr>
        <w:tc>
          <w:tcPr>
            <w:tcW w:type="dxa" w:w="567"/>
          </w:tcPr>
          <w:p>
            <w:r/>
            <w:r>
              <w:rPr>
                <w:sz w:val="17"/>
              </w:rPr>
              <w:t>E06</w:t>
            </w:r>
          </w:p>
        </w:tc>
        <w:tc>
          <w:tcPr>
            <w:tcW w:type="dxa" w:w="2041"/>
          </w:tcPr>
          <w:p>
            <w:r/>
            <w:r>
              <w:rPr>
                <w:sz w:val="17"/>
              </w:rPr>
              <w:t>CGP / CIF</w:t>
            </w:r>
          </w:p>
        </w:tc>
        <w:tc>
          <w:tcPr>
            <w:tcW w:type="dxa" w:w="1587"/>
          </w:tcPr>
          <w:p>
            <w:r/>
            <w:r>
              <w:rPr>
                <w:sz w:val="17"/>
              </w:rPr>
              <w:t>Cabinet 4 pers.</w:t>
            </w:r>
          </w:p>
        </w:tc>
        <w:tc>
          <w:tcPr>
            <w:tcW w:type="dxa" w:w="964"/>
          </w:tcPr>
          <w:p>
            <w:r/>
            <w:r>
              <w:rPr>
                <w:sz w:val="17"/>
              </w:rPr>
              <w:t>90 M€</w:t>
            </w:r>
          </w:p>
        </w:tc>
        <w:tc>
          <w:tcPr>
            <w:tcW w:type="dxa" w:w="907"/>
          </w:tcPr>
          <w:p>
            <w:r/>
            <w:r>
              <w:rPr>
                <w:sz w:val="17"/>
              </w:rPr>
              <w:t>Validée</w:t>
            </w:r>
          </w:p>
        </w:tc>
        <w:tc>
          <w:tcPr>
            <w:tcW w:type="dxa" w:w="907"/>
          </w:tcPr>
          <w:p>
            <w:r/>
            <w:r>
              <w:rPr>
                <w:sz w:val="17"/>
              </w:rPr>
              <w:t>Validée</w:t>
            </w:r>
          </w:p>
        </w:tc>
        <w:tc>
          <w:tcPr>
            <w:tcW w:type="dxa" w:w="907"/>
          </w:tcPr>
          <w:p>
            <w:r/>
            <w:r>
              <w:rPr>
                <w:sz w:val="17"/>
              </w:rPr>
              <w:t>Partielle</w:t>
            </w:r>
          </w:p>
        </w:tc>
        <w:tc>
          <w:tcPr>
            <w:tcW w:type="dxa" w:w="850"/>
          </w:tcPr>
          <w:p>
            <w:r/>
            <w:r>
              <w:rPr>
                <w:sz w:val="17"/>
              </w:rPr>
              <w:t>—</w:t>
            </w:r>
          </w:p>
        </w:tc>
        <w:tc>
          <w:tcPr>
            <w:tcW w:type="dxa" w:w="850"/>
          </w:tcPr>
          <w:p>
            <w:r/>
            <w:r>
              <w:rPr>
                <w:sz w:val="17"/>
              </w:rPr>
              <w:t>—</w:t>
            </w:r>
          </w:p>
        </w:tc>
      </w:tr>
      <w:tr>
        <w:tc>
          <w:tcPr>
            <w:tcW w:type="dxa" w:w="567"/>
            <w:shd w:val="clear" w:color="auto" w:fill="F3F4F6"/>
          </w:tcPr>
          <w:p>
            <w:r/>
            <w:r>
              <w:rPr>
                <w:sz w:val="17"/>
              </w:rPr>
              <w:t>E07</w:t>
            </w:r>
          </w:p>
        </w:tc>
        <w:tc>
          <w:tcPr>
            <w:tcW w:type="dxa" w:w="2041"/>
            <w:shd w:val="clear" w:color="auto" w:fill="F3F4F6"/>
          </w:tcPr>
          <w:p>
            <w:r/>
            <w:r>
              <w:rPr>
                <w:sz w:val="17"/>
              </w:rPr>
              <w:t>CGP / CIF</w:t>
            </w:r>
          </w:p>
        </w:tc>
        <w:tc>
          <w:tcPr>
            <w:tcW w:type="dxa" w:w="1587"/>
            <w:shd w:val="clear" w:color="auto" w:fill="F3F4F6"/>
          </w:tcPr>
          <w:p>
            <w:r/>
            <w:r>
              <w:rPr>
                <w:sz w:val="17"/>
              </w:rPr>
              <w:t>Cabinet 2 pers.</w:t>
            </w:r>
          </w:p>
        </w:tc>
        <w:tc>
          <w:tcPr>
            <w:tcW w:type="dxa" w:w="964"/>
            <w:shd w:val="clear" w:color="auto" w:fill="F3F4F6"/>
          </w:tcPr>
          <w:p>
            <w:r/>
            <w:r>
              <w:rPr>
                <w:sz w:val="17"/>
              </w:rPr>
              <w:t>40 M€</w:t>
            </w:r>
          </w:p>
        </w:tc>
        <w:tc>
          <w:tcPr>
            <w:tcW w:type="dxa" w:w="907"/>
            <w:shd w:val="clear" w:color="auto" w:fill="F3F4F6"/>
          </w:tcPr>
          <w:p>
            <w:r/>
            <w:r>
              <w:rPr>
                <w:sz w:val="17"/>
              </w:rPr>
              <w:t>Partielle</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850"/>
            <w:shd w:val="clear" w:color="auto" w:fill="F3F4F6"/>
          </w:tcPr>
          <w:p>
            <w:r/>
            <w:r>
              <w:rPr>
                <w:sz w:val="17"/>
              </w:rPr>
              <w:t>—</w:t>
            </w:r>
          </w:p>
        </w:tc>
        <w:tc>
          <w:tcPr>
            <w:tcW w:type="dxa" w:w="850"/>
            <w:shd w:val="clear" w:color="auto" w:fill="F3F4F6"/>
          </w:tcPr>
          <w:p>
            <w:r/>
            <w:r>
              <w:rPr>
                <w:sz w:val="17"/>
              </w:rPr>
              <w:t>—</w:t>
            </w:r>
          </w:p>
        </w:tc>
      </w:tr>
      <w:tr>
        <w:tc>
          <w:tcPr>
            <w:tcW w:type="dxa" w:w="567"/>
          </w:tcPr>
          <w:p>
            <w:r/>
            <w:r>
              <w:rPr>
                <w:sz w:val="17"/>
              </w:rPr>
              <w:t>E08</w:t>
            </w:r>
          </w:p>
        </w:tc>
        <w:tc>
          <w:tcPr>
            <w:tcW w:type="dxa" w:w="2041"/>
          </w:tcPr>
          <w:p>
            <w:r/>
            <w:r>
              <w:rPr>
                <w:sz w:val="17"/>
              </w:rPr>
              <w:t>Directeur des gestions</w:t>
            </w:r>
          </w:p>
        </w:tc>
        <w:tc>
          <w:tcPr>
            <w:tcW w:type="dxa" w:w="1587"/>
          </w:tcPr>
          <w:p>
            <w:r/>
            <w:r>
              <w:rPr>
                <w:sz w:val="17"/>
              </w:rPr>
              <w:t>SGP 22 pers.</w:t>
            </w:r>
          </w:p>
        </w:tc>
        <w:tc>
          <w:tcPr>
            <w:tcW w:type="dxa" w:w="964"/>
          </w:tcPr>
          <w:p>
            <w:r/>
            <w:r>
              <w:rPr>
                <w:sz w:val="17"/>
              </w:rPr>
              <w:t>800 M€</w:t>
            </w:r>
          </w:p>
        </w:tc>
        <w:tc>
          <w:tcPr>
            <w:tcW w:type="dxa" w:w="907"/>
          </w:tcPr>
          <w:p>
            <w:r/>
            <w:r>
              <w:rPr>
                <w:sz w:val="17"/>
              </w:rPr>
              <w:t>Validée</w:t>
            </w:r>
          </w:p>
        </w:tc>
        <w:tc>
          <w:tcPr>
            <w:tcW w:type="dxa" w:w="907"/>
          </w:tcPr>
          <w:p>
            <w:r/>
            <w:r>
              <w:rPr>
                <w:sz w:val="17"/>
              </w:rPr>
              <w:t>Partielle</w:t>
            </w:r>
          </w:p>
        </w:tc>
        <w:tc>
          <w:tcPr>
            <w:tcW w:type="dxa" w:w="907"/>
          </w:tcPr>
          <w:p>
            <w:r/>
            <w:r>
              <w:rPr>
                <w:sz w:val="17"/>
              </w:rPr>
              <w:t>Partielle</w:t>
            </w:r>
          </w:p>
        </w:tc>
        <w:tc>
          <w:tcPr>
            <w:tcW w:type="dxa" w:w="850"/>
          </w:tcPr>
          <w:p>
            <w:r/>
            <w:r>
              <w:rPr>
                <w:sz w:val="17"/>
              </w:rPr>
              <w:t>Oui</w:t>
            </w:r>
          </w:p>
        </w:tc>
        <w:tc>
          <w:tcPr>
            <w:tcW w:type="dxa" w:w="850"/>
          </w:tcPr>
          <w:p>
            <w:r/>
            <w:r>
              <w:rPr>
                <w:sz w:val="17"/>
              </w:rPr>
              <w:t>—</w:t>
            </w:r>
          </w:p>
        </w:tc>
      </w:tr>
      <w:tr>
        <w:tc>
          <w:tcPr>
            <w:tcW w:type="dxa" w:w="567"/>
            <w:shd w:val="clear" w:color="auto" w:fill="F3F4F6"/>
          </w:tcPr>
          <w:p>
            <w:r/>
            <w:r>
              <w:rPr>
                <w:sz w:val="17"/>
              </w:rPr>
              <w:t>E09</w:t>
            </w:r>
          </w:p>
        </w:tc>
        <w:tc>
          <w:tcPr>
            <w:tcW w:type="dxa" w:w="2041"/>
            <w:shd w:val="clear" w:color="auto" w:fill="F3F4F6"/>
          </w:tcPr>
          <w:p>
            <w:r/>
            <w:r>
              <w:rPr>
                <w:sz w:val="17"/>
              </w:rPr>
              <w:t>Gérant diversifié</w:t>
            </w:r>
          </w:p>
        </w:tc>
        <w:tc>
          <w:tcPr>
            <w:tcW w:type="dxa" w:w="1587"/>
            <w:shd w:val="clear" w:color="auto" w:fill="F3F4F6"/>
          </w:tcPr>
          <w:p>
            <w:r/>
            <w:r>
              <w:rPr>
                <w:sz w:val="17"/>
              </w:rPr>
              <w:t>SGP 12 pers.</w:t>
            </w:r>
          </w:p>
        </w:tc>
        <w:tc>
          <w:tcPr>
            <w:tcW w:type="dxa" w:w="964"/>
            <w:shd w:val="clear" w:color="auto" w:fill="F3F4F6"/>
          </w:tcPr>
          <w:p>
            <w:r/>
            <w:r>
              <w:rPr>
                <w:sz w:val="17"/>
              </w:rPr>
              <w:t>300 M€</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907"/>
            <w:shd w:val="clear" w:color="auto" w:fill="F3F4F6"/>
          </w:tcPr>
          <w:p>
            <w:r/>
            <w:r>
              <w:rPr>
                <w:sz w:val="17"/>
              </w:rPr>
              <w:t>Invalidée</w:t>
            </w:r>
          </w:p>
        </w:tc>
        <w:tc>
          <w:tcPr>
            <w:tcW w:type="dxa" w:w="850"/>
            <w:shd w:val="clear" w:color="auto" w:fill="F3F4F6"/>
          </w:tcPr>
          <w:p>
            <w:r/>
            <w:r>
              <w:rPr>
                <w:sz w:val="17"/>
              </w:rPr>
              <w:t>—</w:t>
            </w:r>
          </w:p>
        </w:tc>
        <w:tc>
          <w:tcPr>
            <w:tcW w:type="dxa" w:w="850"/>
            <w:shd w:val="clear" w:color="auto" w:fill="F3F4F6"/>
          </w:tcPr>
          <w:p>
            <w:r/>
            <w:r>
              <w:rPr>
                <w:sz w:val="17"/>
              </w:rPr>
              <w:t>—</w:t>
            </w:r>
          </w:p>
        </w:tc>
      </w:tr>
      <w:tr>
        <w:tc>
          <w:tcPr>
            <w:tcW w:type="dxa" w:w="567"/>
          </w:tcPr>
          <w:p>
            <w:r/>
            <w:r>
              <w:rPr>
                <w:sz w:val="17"/>
              </w:rPr>
              <w:t>E10</w:t>
            </w:r>
          </w:p>
        </w:tc>
        <w:tc>
          <w:tcPr>
            <w:tcW w:type="dxa" w:w="2041"/>
          </w:tcPr>
          <w:p>
            <w:r/>
            <w:r>
              <w:rPr>
                <w:sz w:val="17"/>
              </w:rPr>
              <w:t>Allocataire</w:t>
            </w:r>
          </w:p>
        </w:tc>
        <w:tc>
          <w:tcPr>
            <w:tcW w:type="dxa" w:w="1587"/>
          </w:tcPr>
          <w:p>
            <w:r/>
            <w:r>
              <w:rPr>
                <w:sz w:val="17"/>
              </w:rPr>
              <w:t>Family office</w:t>
            </w:r>
          </w:p>
        </w:tc>
        <w:tc>
          <w:tcPr>
            <w:tcW w:type="dxa" w:w="964"/>
          </w:tcPr>
          <w:p>
            <w:r/>
            <w:r>
              <w:rPr>
                <w:sz w:val="17"/>
              </w:rPr>
              <w:t>450 M€</w:t>
            </w:r>
          </w:p>
        </w:tc>
        <w:tc>
          <w:tcPr>
            <w:tcW w:type="dxa" w:w="907"/>
          </w:tcPr>
          <w:p>
            <w:r/>
            <w:r>
              <w:rPr>
                <w:sz w:val="17"/>
              </w:rPr>
              <w:t>Validée</w:t>
            </w:r>
          </w:p>
        </w:tc>
        <w:tc>
          <w:tcPr>
            <w:tcW w:type="dxa" w:w="907"/>
          </w:tcPr>
          <w:p>
            <w:r/>
            <w:r>
              <w:rPr>
                <w:sz w:val="17"/>
              </w:rPr>
              <w:t>Validée</w:t>
            </w:r>
          </w:p>
        </w:tc>
        <w:tc>
          <w:tcPr>
            <w:tcW w:type="dxa" w:w="907"/>
          </w:tcPr>
          <w:p>
            <w:r/>
            <w:r>
              <w:rPr>
                <w:sz w:val="17"/>
              </w:rPr>
              <w:t>Partielle</w:t>
            </w:r>
          </w:p>
        </w:tc>
        <w:tc>
          <w:tcPr>
            <w:tcW w:type="dxa" w:w="850"/>
          </w:tcPr>
          <w:p>
            <w:r/>
            <w:r>
              <w:rPr>
                <w:sz w:val="17"/>
              </w:rPr>
              <w:t>Oui</w:t>
            </w:r>
          </w:p>
        </w:tc>
        <w:tc>
          <w:tcPr>
            <w:tcW w:type="dxa" w:w="850"/>
          </w:tcPr>
          <w:p>
            <w:r/>
            <w:r>
              <w:rPr>
                <w:sz w:val="17"/>
              </w:rPr>
              <w:t>—</w:t>
            </w:r>
          </w:p>
        </w:tc>
      </w:tr>
      <w:tr>
        <w:tc>
          <w:tcPr>
            <w:tcW w:type="dxa" w:w="567"/>
            <w:shd w:val="clear" w:color="auto" w:fill="F3F4F6"/>
          </w:tcPr>
          <w:p>
            <w:r/>
            <w:r>
              <w:rPr>
                <w:sz w:val="17"/>
              </w:rPr>
              <w:t>E11</w:t>
            </w:r>
          </w:p>
        </w:tc>
        <w:tc>
          <w:tcPr>
            <w:tcW w:type="dxa" w:w="2041"/>
            <w:shd w:val="clear" w:color="auto" w:fill="F3F4F6"/>
          </w:tcPr>
          <w:p>
            <w:r/>
            <w:r>
              <w:rPr>
                <w:sz w:val="17"/>
              </w:rPr>
              <w:t>CGP / CIF premium</w:t>
            </w:r>
          </w:p>
        </w:tc>
        <w:tc>
          <w:tcPr>
            <w:tcW w:type="dxa" w:w="1587"/>
            <w:shd w:val="clear" w:color="auto" w:fill="F3F4F6"/>
          </w:tcPr>
          <w:p>
            <w:r/>
            <w:r>
              <w:rPr>
                <w:sz w:val="17"/>
              </w:rPr>
              <w:t>Cabinet 6 pers.</w:t>
            </w:r>
          </w:p>
        </w:tc>
        <w:tc>
          <w:tcPr>
            <w:tcW w:type="dxa" w:w="964"/>
            <w:shd w:val="clear" w:color="auto" w:fill="F3F4F6"/>
          </w:tcPr>
          <w:p>
            <w:r/>
            <w:r>
              <w:rPr>
                <w:sz w:val="17"/>
              </w:rPr>
              <w:t>210 M€</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907"/>
            <w:shd w:val="clear" w:color="auto" w:fill="F3F4F6"/>
          </w:tcPr>
          <w:p>
            <w:r/>
            <w:r>
              <w:rPr>
                <w:sz w:val="17"/>
              </w:rPr>
              <w:t>Validée</w:t>
            </w:r>
          </w:p>
        </w:tc>
        <w:tc>
          <w:tcPr>
            <w:tcW w:type="dxa" w:w="850"/>
            <w:shd w:val="clear" w:color="auto" w:fill="F3F4F6"/>
          </w:tcPr>
          <w:p>
            <w:r/>
            <w:r>
              <w:rPr>
                <w:sz w:val="17"/>
              </w:rPr>
              <w:t>—</w:t>
            </w:r>
          </w:p>
        </w:tc>
        <w:tc>
          <w:tcPr>
            <w:tcW w:type="dxa" w:w="850"/>
            <w:shd w:val="clear" w:color="auto" w:fill="F3F4F6"/>
          </w:tcPr>
          <w:p>
            <w:r/>
            <w:r>
              <w:rPr>
                <w:sz w:val="17"/>
              </w:rPr>
              <w:t>—</w:t>
            </w:r>
          </w:p>
        </w:tc>
      </w:tr>
      <w:tr>
        <w:tc>
          <w:tcPr>
            <w:tcW w:type="dxa" w:w="567"/>
          </w:tcPr>
          <w:p>
            <w:r/>
            <w:r>
              <w:rPr>
                <w:sz w:val="17"/>
              </w:rPr>
              <w:t>E12</w:t>
            </w:r>
          </w:p>
        </w:tc>
        <w:tc>
          <w:tcPr>
            <w:tcW w:type="dxa" w:w="2041"/>
          </w:tcPr>
          <w:p>
            <w:r/>
            <w:r>
              <w:rPr>
                <w:sz w:val="17"/>
              </w:rPr>
              <w:t>Gérant obligataire</w:t>
            </w:r>
          </w:p>
        </w:tc>
        <w:tc>
          <w:tcPr>
            <w:tcW w:type="dxa" w:w="1587"/>
          </w:tcPr>
          <w:p>
            <w:r/>
            <w:r>
              <w:rPr>
                <w:sz w:val="17"/>
              </w:rPr>
              <w:t>SGP 15 pers.</w:t>
            </w:r>
          </w:p>
        </w:tc>
        <w:tc>
          <w:tcPr>
            <w:tcW w:type="dxa" w:w="964"/>
          </w:tcPr>
          <w:p>
            <w:r/>
            <w:r>
              <w:rPr>
                <w:sz w:val="17"/>
              </w:rPr>
              <w:t>350 M€</w:t>
            </w:r>
          </w:p>
        </w:tc>
        <w:tc>
          <w:tcPr>
            <w:tcW w:type="dxa" w:w="907"/>
          </w:tcPr>
          <w:p>
            <w:r/>
            <w:r>
              <w:rPr>
                <w:sz w:val="17"/>
              </w:rPr>
              <w:t>Invalidée</w:t>
            </w:r>
          </w:p>
        </w:tc>
        <w:tc>
          <w:tcPr>
            <w:tcW w:type="dxa" w:w="907"/>
          </w:tcPr>
          <w:p>
            <w:r/>
            <w:r>
              <w:rPr>
                <w:sz w:val="17"/>
              </w:rPr>
              <w:t>Partielle</w:t>
            </w:r>
          </w:p>
        </w:tc>
        <w:tc>
          <w:tcPr>
            <w:tcW w:type="dxa" w:w="907"/>
          </w:tcPr>
          <w:p>
            <w:r/>
            <w:r>
              <w:rPr>
                <w:sz w:val="17"/>
              </w:rPr>
              <w:t>Invalidée</w:t>
            </w:r>
          </w:p>
        </w:tc>
        <w:tc>
          <w:tcPr>
            <w:tcW w:type="dxa" w:w="850"/>
          </w:tcPr>
          <w:p>
            <w:r/>
            <w:r>
              <w:rPr>
                <w:sz w:val="17"/>
              </w:rPr>
              <w:t>—</w:t>
            </w:r>
          </w:p>
        </w:tc>
        <w:tc>
          <w:tcPr>
            <w:tcW w:type="dxa" w:w="850"/>
          </w:tcPr>
          <w:p>
            <w:r/>
            <w:r>
              <w:rPr>
                <w:sz w:val="17"/>
              </w:rPr>
              <w:t>—</w:t>
            </w:r>
          </w:p>
        </w:tc>
      </w:tr>
      <w:tr>
        <w:tc>
          <w:tcPr>
            <w:tcW w:type="dxa" w:w="567"/>
            <w:shd w:val="clear" w:color="auto" w:fill="F3F4F6"/>
          </w:tcPr>
          <w:p>
            <w:r/>
            <w:r>
              <w:rPr>
                <w:sz w:val="17"/>
              </w:rPr>
              <w:t>E13</w:t>
            </w:r>
          </w:p>
        </w:tc>
        <w:tc>
          <w:tcPr>
            <w:tcW w:type="dxa" w:w="2041"/>
            <w:shd w:val="clear" w:color="auto" w:fill="F3F4F6"/>
          </w:tcPr>
          <w:p>
            <w:r/>
            <w:r>
              <w:rPr>
                <w:sz w:val="17"/>
              </w:rPr>
              <w:t>Responsable conformité</w:t>
            </w:r>
          </w:p>
        </w:tc>
        <w:tc>
          <w:tcPr>
            <w:tcW w:type="dxa" w:w="1587"/>
            <w:shd w:val="clear" w:color="auto" w:fill="F3F4F6"/>
          </w:tcPr>
          <w:p>
            <w:r/>
            <w:r>
              <w:rPr>
                <w:sz w:val="17"/>
              </w:rPr>
              <w:t>SGP 28 pers.</w:t>
            </w:r>
          </w:p>
        </w:tc>
        <w:tc>
          <w:tcPr>
            <w:tcW w:type="dxa" w:w="964"/>
            <w:shd w:val="clear" w:color="auto" w:fill="F3F4F6"/>
          </w:tcPr>
          <w:p>
            <w:r/>
            <w:r>
              <w:rPr>
                <w:sz w:val="17"/>
              </w:rPr>
              <w:t>1,4 Md€</w:t>
            </w:r>
          </w:p>
        </w:tc>
        <w:tc>
          <w:tcPr>
            <w:tcW w:type="dxa" w:w="907"/>
            <w:shd w:val="clear" w:color="auto" w:fill="F3F4F6"/>
          </w:tcPr>
          <w:p>
            <w:r/>
            <w:r>
              <w:rPr>
                <w:sz w:val="17"/>
              </w:rPr>
              <w:t>Partielle</w:t>
            </w:r>
          </w:p>
        </w:tc>
        <w:tc>
          <w:tcPr>
            <w:tcW w:type="dxa" w:w="907"/>
            <w:shd w:val="clear" w:color="auto" w:fill="F3F4F6"/>
          </w:tcPr>
          <w:p>
            <w:r/>
            <w:r>
              <w:rPr>
                <w:sz w:val="17"/>
              </w:rPr>
              <w:t>Validée</w:t>
            </w:r>
          </w:p>
        </w:tc>
        <w:tc>
          <w:tcPr>
            <w:tcW w:type="dxa" w:w="907"/>
            <w:shd w:val="clear" w:color="auto" w:fill="F3F4F6"/>
          </w:tcPr>
          <w:p>
            <w:r/>
            <w:r>
              <w:rPr>
                <w:sz w:val="17"/>
              </w:rPr>
              <w:t>Invalidée</w:t>
            </w:r>
          </w:p>
        </w:tc>
        <w:tc>
          <w:tcPr>
            <w:tcW w:type="dxa" w:w="850"/>
            <w:shd w:val="clear" w:color="auto" w:fill="F3F4F6"/>
          </w:tcPr>
          <w:p>
            <w:r/>
            <w:r>
              <w:rPr>
                <w:sz w:val="17"/>
              </w:rPr>
              <w:t>—</w:t>
            </w:r>
          </w:p>
        </w:tc>
        <w:tc>
          <w:tcPr>
            <w:tcW w:type="dxa" w:w="850"/>
            <w:shd w:val="clear" w:color="auto" w:fill="F3F4F6"/>
          </w:tcPr>
          <w:p>
            <w:r/>
            <w:r>
              <w:rPr>
                <w:sz w:val="17"/>
              </w:rPr>
              <w:t>—</w:t>
            </w:r>
          </w:p>
        </w:tc>
      </w:tr>
    </w:tbl>
    <w:p/>
    <w:p>
      <w:pPr>
        <w:jc w:val="center"/>
      </w:pPr>
      <w:r>
        <w:drawing>
          <wp:inline xmlns:a="http://schemas.openxmlformats.org/drawingml/2006/main" xmlns:pic="http://schemas.openxmlformats.org/drawingml/2006/picture">
            <wp:extent cx="5400000" cy="2303838"/>
            <wp:docPr id="1" name="Picture 1"/>
            <wp:cNvGraphicFramePr>
              <a:graphicFrameLocks noChangeAspect="1"/>
            </wp:cNvGraphicFramePr>
            <a:graphic>
              <a:graphicData uri="http://schemas.openxmlformats.org/drawingml/2006/picture">
                <pic:pic>
                  <pic:nvPicPr>
                    <pic:cNvPr id="0" name="02_entretiens.png"/>
                    <pic:cNvPicPr/>
                  </pic:nvPicPr>
                  <pic:blipFill>
                    <a:blip r:embed="rId9"/>
                    <a:stretch>
                      <a:fillRect/>
                    </a:stretch>
                  </pic:blipFill>
                  <pic:spPr>
                    <a:xfrm>
                      <a:off x="0" y="0"/>
                      <a:ext cx="5400000" cy="2303838"/>
                    </a:xfrm>
                    <a:prstGeom prst="rect"/>
                  </pic:spPr>
                </pic:pic>
              </a:graphicData>
            </a:graphic>
          </wp:inline>
        </w:drawing>
      </w:r>
    </w:p>
    <w:p>
      <w:pPr>
        <w:jc w:val="center"/>
      </w:pPr>
      <w:r>
        <w:rPr>
          <w:b w:val="0"/>
          <w:i/>
          <w:color w:val="6B7280"/>
          <w:sz w:val="18"/>
        </w:rPr>
        <w:t>Figure 1 — Validation des hypothèses (FICTIF)</w:t>
      </w:r>
    </w:p>
    <w:p>
      <w:pPr>
        <w:pStyle w:val="Heading2"/>
      </w:pPr>
      <w:r>
        <w:t>Verbatims marquants</w:t>
      </w:r>
    </w:p>
    <w:p>
      <w:r>
        <w:rPr>
          <w:b/>
        </w:rPr>
        <w:t xml:space="preserve">E01 — Gérante multi-actifs, SGP 18 pers. : </w:t>
      </w:r>
      <w:r>
        <w:rPr>
          <w:b w:val="0"/>
        </w:rPr>
        <w:t>« En mars 2020 on a coupé les actions avec dix jours de retard. Le plus dur, c'était d'expliquer pourquoi au comité. »</w:t>
      </w:r>
    </w:p>
    <w:p>
      <w:r>
        <w:rPr>
          <w:b/>
        </w:rPr>
        <w:t xml:space="preserve">E02 — CIO, Family office : </w:t>
      </w:r>
      <w:r>
        <w:rPr>
          <w:b w:val="0"/>
        </w:rPr>
        <w:t>« Je ne veux pas un score de plus, je veux savoir ce qui a bougé cette semaine. »</w:t>
      </w:r>
    </w:p>
    <w:p>
      <w:r>
        <w:rPr>
          <w:b/>
        </w:rPr>
        <w:t xml:space="preserve">E03 — Gérant actions/obligations, SGP 9 pers. : </w:t>
      </w:r>
      <w:r>
        <w:rPr>
          <w:b w:val="0"/>
        </w:rPr>
        <w:t>« On regarde le VIX et les spreads sur Bloomberg, mais chacun a son interprétation. »</w:t>
      </w:r>
    </w:p>
    <w:p>
      <w:r>
        <w:rPr>
          <w:b/>
        </w:rPr>
        <w:t xml:space="preserve">E04 — Risk manager, SGP 35 pers. : </w:t>
      </w:r>
      <w:r>
        <w:rPr>
          <w:b w:val="0"/>
        </w:rPr>
        <w:t>« Ce qui m'intéresse, c'est un historique que personne ne peut retoucher. »</w:t>
      </w:r>
    </w:p>
    <w:p>
      <w:r>
        <w:rPr>
          <w:b/>
        </w:rPr>
        <w:t xml:space="preserve">E05 — Gérant patrimonial, Multi-family office : </w:t>
      </w:r>
      <w:r>
        <w:rPr>
          <w:b w:val="0"/>
        </w:rPr>
        <w:t>« Si le rapport est propre, je le mets directement dans le pack du comité. »</w:t>
      </w:r>
    </w:p>
    <w:p>
      <w:r>
        <w:rPr>
          <w:b/>
        </w:rPr>
        <w:t xml:space="preserve">E06 — CGP / CIF, Cabinet 4 pers. : </w:t>
      </w:r>
      <w:r>
        <w:rPr>
          <w:b w:val="0"/>
        </w:rPr>
        <w:t>« Mes clients m'appellent quand ça baisse ; j'ai besoin d'un commentaire clair, vite. »</w:t>
      </w:r>
    </w:p>
    <w:p>
      <w:r>
        <w:rPr>
          <w:b/>
        </w:rPr>
        <w:t xml:space="preserve">E07 — CGP / CIF, Cabinet 2 pers. : </w:t>
      </w:r>
      <w:r>
        <w:rPr>
          <w:b w:val="0"/>
        </w:rPr>
        <w:t>« 60 euros par mois, oui, si ça m'évite d'écrire ma lettre mensuelle. »</w:t>
      </w:r>
    </w:p>
    <w:p>
      <w:r>
        <w:rPr>
          <w:b/>
        </w:rPr>
        <w:t xml:space="preserve">E08 — Directeur des gestions, SGP 22 pers. : </w:t>
      </w:r>
      <w:r>
        <w:rPr>
          <w:b w:val="0"/>
        </w:rPr>
        <w:t>« Montrez-moi d'abord six mois de signaux en live, on en reparlera. »</w:t>
      </w:r>
    </w:p>
    <w:p>
      <w:r>
        <w:rPr>
          <w:b/>
        </w:rPr>
        <w:t xml:space="preserve">E09 — Gérant diversifié, SGP 12 pers. : </w:t>
      </w:r>
      <w:r>
        <w:rPr>
          <w:b w:val="0"/>
        </w:rPr>
        <w:t>« Le budget data est déjà pris par Bloomberg ; il faudrait remplacer quelque chose. »</w:t>
      </w:r>
    </w:p>
    <w:p>
      <w:r>
        <w:rPr>
          <w:b/>
        </w:rPr>
        <w:t xml:space="preserve">E10 — Allocataire, Family office : </w:t>
      </w:r>
      <w:r>
        <w:rPr>
          <w:b w:val="0"/>
        </w:rPr>
        <w:t>« En 2022, le vrai sujet était l'inflation, pas la volatilité : votre dimension inflation me parle. »</w:t>
      </w:r>
    </w:p>
    <w:p>
      <w:r>
        <w:rPr>
          <w:b/>
        </w:rPr>
        <w:t xml:space="preserve">E11 — CGP / CIF premium, Cabinet 6 pers. : </w:t>
      </w:r>
      <w:r>
        <w:rPr>
          <w:b w:val="0"/>
        </w:rPr>
        <w:t>« Je veux pouvoir montrer à mon client que le signal existait avant la baisse. »</w:t>
      </w:r>
    </w:p>
    <w:p>
      <w:r>
        <w:rPr>
          <w:b/>
        </w:rPr>
        <w:t xml:space="preserve">E12 — Gérant obligataire, SGP 15 pers. : </w:t>
      </w:r>
      <w:r>
        <w:rPr>
          <w:b w:val="0"/>
        </w:rPr>
        <w:t>« Notre mandat est contraint, on ne bouge pas l'allocation tous les mois. »</w:t>
      </w:r>
    </w:p>
    <w:p>
      <w:r>
        <w:rPr>
          <w:b/>
        </w:rPr>
        <w:t xml:space="preserve">E13 — Responsable conformité, SGP 28 pers. : </w:t>
      </w:r>
      <w:r>
        <w:rPr>
          <w:b w:val="0"/>
        </w:rPr>
        <w:t>« Attention à la frontière avec le conseil : pas de « vendez », et méfiez-vous des simulations sur le portefeuille du client. »</w:t>
      </w:r>
    </w:p>
    <w:p>
      <w:pPr>
        <w:pStyle w:val="Heading2"/>
      </w:pPr>
      <w:r>
        <w:t>Enseignements et décisions</w:t>
      </w:r>
    </w:p>
    <w:tbl>
      <w:tblPr>
        <w:tblStyle w:val="TableGrid"/>
        <w:tblW w:type="auto" w:w="0"/>
        <w:tblLook w:firstColumn="1" w:firstRow="1" w:lastColumn="0" w:lastRow="0" w:noHBand="0" w:noVBand="1" w:val="04A0"/>
      </w:tblPr>
      <w:tblGrid>
        <w:gridCol w:w="4986"/>
        <w:gridCol w:w="4986"/>
      </w:tblGrid>
      <w:tr>
        <w:tc>
          <w:tcPr>
            <w:tcW w:type="dxa" w:w="5102"/>
            <w:shd w:val="clear" w:color="auto" w:fill="1F3A5F"/>
          </w:tcPr>
          <w:p>
            <w:r/>
            <w:r>
              <w:rPr>
                <w:b/>
                <w:color w:val="FFFFFF"/>
                <w:sz w:val="19"/>
              </w:rPr>
              <w:t>Enseignement</w:t>
            </w:r>
          </w:p>
        </w:tc>
        <w:tc>
          <w:tcPr>
            <w:tcW w:type="dxa" w:w="4535"/>
            <w:shd w:val="clear" w:color="auto" w:fill="1F3A5F"/>
          </w:tcPr>
          <w:p>
            <w:r/>
            <w:r>
              <w:rPr>
                <w:b/>
                <w:color w:val="FFFFFF"/>
                <w:sz w:val="19"/>
              </w:rPr>
              <w:t>Décision</w:t>
            </w:r>
          </w:p>
        </w:tc>
      </w:tr>
      <w:tr>
        <w:tc>
          <w:tcPr>
            <w:tcW w:type="dxa" w:w="5102"/>
            <w:shd w:val="clear" w:color="auto" w:fill="F3F4F6"/>
          </w:tcPr>
          <w:p>
            <w:r/>
            <w:r>
              <w:rPr>
                <w:sz w:val="19"/>
              </w:rPr>
              <w:t>H1 validée par 9/13, partiellement par 3/13 : la douleur existe, surtout pour justifier a posteriori.</w:t>
            </w:r>
          </w:p>
        </w:tc>
        <w:tc>
          <w:tcPr>
            <w:tcW w:type="dxa" w:w="4535"/>
            <w:shd w:val="clear" w:color="auto" w:fill="F3F4F6"/>
          </w:tcPr>
          <w:p>
            <w:r/>
            <w:r>
              <w:rPr>
                <w:sz w:val="19"/>
              </w:rPr>
              <w:t>Le « ce qui a changé depuis la semaine dernière » devient un Must.</w:t>
            </w:r>
          </w:p>
        </w:tc>
      </w:tr>
      <w:tr>
        <w:tc>
          <w:tcPr>
            <w:tcW w:type="dxa" w:w="5102"/>
          </w:tcPr>
          <w:p>
            <w:r/>
            <w:r>
              <w:rPr>
                <w:sz w:val="19"/>
              </w:rPr>
              <w:t>H2 validée par 10/13 : personne ne veut « un score de plus ».</w:t>
            </w:r>
          </w:p>
        </w:tc>
        <w:tc>
          <w:tcPr>
            <w:tcW w:type="dxa" w:w="4535"/>
          </w:tcPr>
          <w:p>
            <w:r/>
            <w:r>
              <w:rPr>
                <w:sz w:val="19"/>
              </w:rPr>
              <w:t>Rapport de comité PDF en Must, tableau de bord en Should.</w:t>
            </w:r>
          </w:p>
        </w:tc>
      </w:tr>
      <w:tr>
        <w:tc>
          <w:tcPr>
            <w:tcW w:type="dxa" w:w="5102"/>
            <w:shd w:val="clear" w:color="auto" w:fill="F3F4F6"/>
          </w:tcPr>
          <w:p>
            <w:r/>
            <w:r>
              <w:rPr>
                <w:sz w:val="19"/>
              </w:rPr>
              <w:t>H3 fragile (4/13) : budgets data déjà pris par Bloomberg ; on veut voir un historique live avant de payer.</w:t>
            </w:r>
          </w:p>
        </w:tc>
        <w:tc>
          <w:tcPr>
            <w:tcW w:type="dxa" w:w="4535"/>
            <w:shd w:val="clear" w:color="auto" w:fill="F3F4F6"/>
          </w:tcPr>
          <w:p>
            <w:r/>
            <w:r>
              <w:rPr>
                <w:sz w:val="19"/>
              </w:rPr>
              <w:t>Track record public en ligne depuis le 01/10 ; prix à retester au J3 pendant les tests utilisateurs.</w:t>
            </w:r>
          </w:p>
        </w:tc>
      </w:tr>
      <w:tr>
        <w:tc>
          <w:tcPr>
            <w:tcW w:type="dxa" w:w="5102"/>
          </w:tcPr>
          <w:p>
            <w:r/>
            <w:r>
              <w:rPr>
                <w:sz w:val="19"/>
              </w:rPr>
              <w:t>Seuil de tolérance aux fausses alertes : 1 à 2 par an.</w:t>
            </w:r>
          </w:p>
        </w:tc>
        <w:tc>
          <w:tcPr>
            <w:tcW w:type="dxa" w:w="4535"/>
          </w:tcPr>
          <w:p>
            <w:r/>
            <w:r>
              <w:rPr>
                <w:sz w:val="19"/>
              </w:rPr>
              <w:t>Seuil de 1,5 maintenu ; seuil minimal acceptable à 2.</w:t>
            </w:r>
          </w:p>
        </w:tc>
      </w:tr>
      <w:tr>
        <w:tc>
          <w:tcPr>
            <w:tcW w:type="dxa" w:w="5102"/>
            <w:shd w:val="clear" w:color="auto" w:fill="F3F4F6"/>
          </w:tcPr>
          <w:p>
            <w:r/>
            <w:r>
              <w:rPr>
                <w:sz w:val="19"/>
              </w:rPr>
              <w:t>Conformité (E13) : vigilance sur la frontière avec le conseil.</w:t>
            </w:r>
          </w:p>
        </w:tc>
        <w:tc>
          <w:tcPr>
            <w:tcW w:type="dxa" w:w="4535"/>
            <w:shd w:val="clear" w:color="auto" w:fill="F3F4F6"/>
          </w:tcPr>
          <w:p>
            <w:r/>
            <w:r>
              <w:rPr>
                <w:sz w:val="19"/>
              </w:rPr>
              <w:t>Avertissement sur chaque sortie, formulations relues (risque R7).</w:t>
            </w:r>
          </w:p>
        </w:tc>
      </w:tr>
      <w:tr>
        <w:tc>
          <w:tcPr>
            <w:tcW w:type="dxa" w:w="5102"/>
          </w:tcPr>
          <w:p>
            <w:r/>
            <w:r>
              <w:rPr>
                <w:sz w:val="19"/>
              </w:rPr>
              <w:t>E10 : l'inflation de 2022 n'est pas un épisode de volatilité.</w:t>
            </w:r>
          </w:p>
        </w:tc>
        <w:tc>
          <w:tcPr>
            <w:tcW w:type="dxa" w:w="4535"/>
          </w:tcPr>
          <w:p>
            <w:r/>
            <w:r>
              <w:rPr>
                <w:sz w:val="19"/>
              </w:rPr>
              <w:t>Conforte les deux axes (stress et croissance / inflation).</w:t>
            </w:r>
          </w:p>
        </w:tc>
      </w:tr>
    </w:tbl>
    <w:p/>
    <w:p>
      <w:pPr>
        <w:pStyle w:val="Heading1"/>
      </w:pPr>
      <w:r>
        <w:t>2. Questionnaire en ligne</w:t>
      </w:r>
    </w:p>
    <w:p>
      <w:pPr>
        <w:pStyle w:val="Heading2"/>
      </w:pPr>
      <w:r>
        <w:t>Protocole</w:t>
      </w:r>
    </w:p>
    <w:p>
      <w:r>
        <w:rPr>
          <w:b w:val="0"/>
          <w:i w:val="0"/>
        </w:rPr>
        <w:t>Questionnaire Google Forms de 12 questions (5 minutes), diffusé du 05/10 au 18/10/2026 sur LinkedIn et dans deux groupes de CGP. 54 réponses exploitables.</w:t>
      </w:r>
    </w:p>
    <w:tbl>
      <w:tblPr>
        <w:tblStyle w:val="TableGrid"/>
        <w:tblW w:type="auto" w:w="0"/>
        <w:tblLook w:firstColumn="1" w:firstRow="1" w:lastColumn="0" w:lastRow="0" w:noHBand="0" w:noVBand="1" w:val="04A0"/>
      </w:tblPr>
      <w:tblGrid>
        <w:gridCol w:w="4986"/>
        <w:gridCol w:w="4986"/>
      </w:tblGrid>
      <w:tr>
        <w:tc>
          <w:tcPr>
            <w:tcW w:type="dxa" w:w="4535"/>
            <w:shd w:val="clear" w:color="auto" w:fill="1F3A5F"/>
          </w:tcPr>
          <w:p>
            <w:r/>
            <w:r>
              <w:rPr>
                <w:b/>
                <w:color w:val="FFFFFF"/>
                <w:sz w:val="19"/>
              </w:rPr>
              <w:t>Segment</w:t>
            </w:r>
          </w:p>
        </w:tc>
        <w:tc>
          <w:tcPr>
            <w:tcW w:type="dxa" w:w="2835"/>
            <w:shd w:val="clear" w:color="auto" w:fill="1F3A5F"/>
          </w:tcPr>
          <w:p>
            <w:r/>
            <w:r>
              <w:rPr>
                <w:b/>
                <w:color w:val="FFFFFF"/>
                <w:sz w:val="19"/>
              </w:rPr>
              <w:t>Nombre de réponses</w:t>
            </w:r>
          </w:p>
        </w:tc>
      </w:tr>
      <w:tr>
        <w:tc>
          <w:tcPr>
            <w:tcW w:type="dxa" w:w="4535"/>
            <w:shd w:val="clear" w:color="auto" w:fill="F3F4F6"/>
          </w:tcPr>
          <w:p>
            <w:r/>
            <w:r>
              <w:rPr>
                <w:sz w:val="19"/>
              </w:rPr>
              <w:t>Gérants SGP</w:t>
            </w:r>
          </w:p>
        </w:tc>
        <w:tc>
          <w:tcPr>
            <w:tcW w:type="dxa" w:w="2835"/>
            <w:shd w:val="clear" w:color="auto" w:fill="F3F4F6"/>
          </w:tcPr>
          <w:p>
            <w:r/>
            <w:r>
              <w:rPr>
                <w:sz w:val="19"/>
              </w:rPr>
              <w:t>17</w:t>
            </w:r>
          </w:p>
        </w:tc>
      </w:tr>
      <w:tr>
        <w:tc>
          <w:tcPr>
            <w:tcW w:type="dxa" w:w="4535"/>
          </w:tcPr>
          <w:p>
            <w:r/>
            <w:r>
              <w:rPr>
                <w:sz w:val="19"/>
              </w:rPr>
              <w:t>Family offices</w:t>
            </w:r>
          </w:p>
        </w:tc>
        <w:tc>
          <w:tcPr>
            <w:tcW w:type="dxa" w:w="2835"/>
          </w:tcPr>
          <w:p>
            <w:r/>
            <w:r>
              <w:rPr>
                <w:sz w:val="19"/>
              </w:rPr>
              <w:t>9</w:t>
            </w:r>
          </w:p>
        </w:tc>
      </w:tr>
      <w:tr>
        <w:tc>
          <w:tcPr>
            <w:tcW w:type="dxa" w:w="4535"/>
            <w:shd w:val="clear" w:color="auto" w:fill="F3F4F6"/>
          </w:tcPr>
          <w:p>
            <w:r/>
            <w:r>
              <w:rPr>
                <w:sz w:val="19"/>
              </w:rPr>
              <w:t>CGP / CIF</w:t>
            </w:r>
          </w:p>
        </w:tc>
        <w:tc>
          <w:tcPr>
            <w:tcW w:type="dxa" w:w="2835"/>
            <w:shd w:val="clear" w:color="auto" w:fill="F3F4F6"/>
          </w:tcPr>
          <w:p>
            <w:r/>
            <w:r>
              <w:rPr>
                <w:sz w:val="19"/>
              </w:rPr>
              <w:t>21</w:t>
            </w:r>
          </w:p>
        </w:tc>
      </w:tr>
      <w:tr>
        <w:tc>
          <w:tcPr>
            <w:tcW w:type="dxa" w:w="4535"/>
          </w:tcPr>
          <w:p>
            <w:r/>
            <w:r>
              <w:rPr>
                <w:sz w:val="19"/>
              </w:rPr>
              <w:t>Risque / conformité</w:t>
            </w:r>
          </w:p>
        </w:tc>
        <w:tc>
          <w:tcPr>
            <w:tcW w:type="dxa" w:w="2835"/>
          </w:tcPr>
          <w:p>
            <w:r/>
            <w:r>
              <w:rPr>
                <w:sz w:val="19"/>
              </w:rPr>
              <w:t>7</w:t>
            </w:r>
          </w:p>
        </w:tc>
      </w:tr>
      <w:tr>
        <w:tc>
          <w:tcPr>
            <w:tcW w:type="dxa" w:w="4535"/>
            <w:shd w:val="clear" w:color="auto" w:fill="F3F4F6"/>
          </w:tcPr>
          <w:p>
            <w:r/>
            <w:r>
              <w:rPr>
                <w:sz w:val="19"/>
              </w:rPr>
              <w:t>Total</w:t>
            </w:r>
          </w:p>
        </w:tc>
        <w:tc>
          <w:tcPr>
            <w:tcW w:type="dxa" w:w="2835"/>
            <w:shd w:val="clear" w:color="auto" w:fill="F3F4F6"/>
          </w:tcPr>
          <w:p>
            <w:r/>
            <w:r>
              <w:rPr>
                <w:sz w:val="19"/>
              </w:rPr>
              <w:t>54</w:t>
            </w:r>
          </w:p>
        </w:tc>
      </w:tr>
    </w:tbl>
    <w:p/>
    <w:p>
      <w:pPr>
        <w:pStyle w:val="Heading2"/>
      </w:pPr>
      <w:r>
        <w:t>Questions</w:t>
      </w:r>
    </w:p>
    <w:p>
      <w:pPr>
        <w:pStyle w:val="ListParagraph"/>
      </w:pPr>
      <w:r>
        <w:t>Q1. Quel est votre métier ? (gérant SGP / family office / CGP-CIF / risque-conformité / autre)</w:t>
      </w:r>
    </w:p>
    <w:p>
      <w:pPr>
        <w:pStyle w:val="ListParagraph"/>
      </w:pPr>
      <w:r>
        <w:t>Q2. Encours gérés par votre structure ? (&lt; 100 M€ / 100-500 M€ / 500 M€-2 Md€ / &gt; 2 Md€)</w:t>
      </w:r>
    </w:p>
    <w:p>
      <w:pPr>
        <w:pStyle w:val="ListParagraph"/>
      </w:pPr>
      <w:r>
        <w:t>Q3. Avez-vous une équipe quantitative en interne ? (oui / non)</w:t>
      </w:r>
    </w:p>
    <w:p>
      <w:pPr>
        <w:pStyle w:val="ListParagraph"/>
      </w:pPr>
      <w:r>
        <w:t>Q4. Fréquence de votre comité d'allocation ? (hebdo / mensuel / trimestriel / pas de comité)</w:t>
      </w:r>
    </w:p>
    <w:p>
      <w:pPr>
        <w:pStyle w:val="ListParagraph"/>
      </w:pPr>
      <w:r>
        <w:t>Q5. Importance de ces difficultés (échelle 1 à 5) : consolider les signaux ; justifier une décision ; réagir tôt en stress ; rédiger le commentaire client ; accès aux modèles quant ; coût des terminaux</w:t>
      </w:r>
    </w:p>
    <w:p>
      <w:pPr>
        <w:pStyle w:val="ListParagraph"/>
      </w:pPr>
      <w:r>
        <w:t>Q6. Lors des baisses de 2020, 2022, avril 2025 : combien de jours avant de réduire le risque ?</w:t>
      </w:r>
    </w:p>
    <w:p>
      <w:pPr>
        <w:pStyle w:val="ListParagraph"/>
      </w:pPr>
      <w:r>
        <w:t>Q7. Format préféré (1er choix) : rapport PDF / alerte e-mail / tableau de bord / commentaire client / API</w:t>
      </w:r>
    </w:p>
    <w:p>
      <w:pPr>
        <w:pStyle w:val="ListParagraph"/>
      </w:pPr>
      <w:r>
        <w:t>Q8. Qu'est-ce qui vous donnerait confiance dans un signal ? (plusieurs choix)</w:t>
      </w:r>
    </w:p>
    <w:p>
      <w:pPr>
        <w:pStyle w:val="ListParagraph"/>
      </w:pPr>
      <w:r>
        <w:t>Q9. Combien de fausses alertes par an seriez-vous prêt à tolérer ?</w:t>
      </w:r>
    </w:p>
    <w:p>
      <w:pPr>
        <w:pStyle w:val="ListParagraph"/>
      </w:pPr>
      <w:r>
        <w:t>Q10. Prix annuel (gérants) ou mensuel (CGP) jugé acceptable ?</w:t>
      </w:r>
    </w:p>
    <w:p>
      <w:pPr>
        <w:pStyle w:val="ListParagraph"/>
      </w:pPr>
      <w:r>
        <w:t>Q11. Accepteriez-vous de tester un prototype en novembre ? (oui / non)</w:t>
      </w:r>
    </w:p>
    <w:p>
      <w:pPr>
        <w:pStyle w:val="ListParagraph"/>
      </w:pPr>
      <w:r>
        <w:t>Q12. Adresse e-mail (facultatif)</w:t>
      </w:r>
    </w:p>
    <w:p>
      <w:pPr>
        <w:pStyle w:val="Heading2"/>
      </w:pPr>
      <w:r>
        <w:t>Résultats</w:t>
      </w:r>
    </w:p>
    <w:p>
      <w:pPr>
        <w:jc w:val="center"/>
      </w:pPr>
      <w:r>
        <w:drawing>
          <wp:inline xmlns:a="http://schemas.openxmlformats.org/drawingml/2006/main" xmlns:pic="http://schemas.openxmlformats.org/drawingml/2006/picture">
            <wp:extent cx="6120000" cy="2147523"/>
            <wp:docPr id="2" name="Picture 2"/>
            <wp:cNvGraphicFramePr>
              <a:graphicFrameLocks noChangeAspect="1"/>
            </wp:cNvGraphicFramePr>
            <a:graphic>
              <a:graphicData uri="http://schemas.openxmlformats.org/drawingml/2006/picture">
                <pic:pic>
                  <pic:nvPicPr>
                    <pic:cNvPr id="0" name="03_sondage_besoins.png"/>
                    <pic:cNvPicPr/>
                  </pic:nvPicPr>
                  <pic:blipFill>
                    <a:blip r:embed="rId10"/>
                    <a:stretch>
                      <a:fillRect/>
                    </a:stretch>
                  </pic:blipFill>
                  <pic:spPr>
                    <a:xfrm>
                      <a:off x="0" y="0"/>
                      <a:ext cx="6120000" cy="2147523"/>
                    </a:xfrm>
                    <a:prstGeom prst="rect"/>
                  </pic:spPr>
                </pic:pic>
              </a:graphicData>
            </a:graphic>
          </wp:inline>
        </w:drawing>
      </w:r>
    </w:p>
    <w:p>
      <w:pPr>
        <w:jc w:val="center"/>
      </w:pPr>
      <w:r>
        <w:rPr>
          <w:b w:val="0"/>
          <w:i/>
          <w:color w:val="6B7280"/>
          <w:sz w:val="18"/>
        </w:rPr>
        <w:t>Figure 2 — Douleurs et format préféré (FICTIF)</w:t>
      </w:r>
    </w:p>
    <w:p>
      <w:pPr>
        <w:jc w:val="center"/>
      </w:pPr>
      <w:r>
        <w:drawing>
          <wp:inline xmlns:a="http://schemas.openxmlformats.org/drawingml/2006/main" xmlns:pic="http://schemas.openxmlformats.org/drawingml/2006/picture">
            <wp:extent cx="6120000" cy="1753177"/>
            <wp:docPr id="3" name="Picture 3"/>
            <wp:cNvGraphicFramePr>
              <a:graphicFrameLocks noChangeAspect="1"/>
            </wp:cNvGraphicFramePr>
            <a:graphic>
              <a:graphicData uri="http://schemas.openxmlformats.org/drawingml/2006/picture">
                <pic:pic>
                  <pic:nvPicPr>
                    <pic:cNvPr id="0" name="04_sondage_prix_confiance.png"/>
                    <pic:cNvPicPr/>
                  </pic:nvPicPr>
                  <pic:blipFill>
                    <a:blip r:embed="rId11"/>
                    <a:stretch>
                      <a:fillRect/>
                    </a:stretch>
                  </pic:blipFill>
                  <pic:spPr>
                    <a:xfrm>
                      <a:off x="0" y="0"/>
                      <a:ext cx="6120000" cy="1753177"/>
                    </a:xfrm>
                    <a:prstGeom prst="rect"/>
                  </pic:spPr>
                </pic:pic>
              </a:graphicData>
            </a:graphic>
          </wp:inline>
        </w:drawing>
      </w:r>
    </w:p>
    <w:p>
      <w:pPr>
        <w:jc w:val="center"/>
      </w:pPr>
      <w:r>
        <w:rPr>
          <w:b w:val="0"/>
          <w:i/>
          <w:color w:val="6B7280"/>
          <w:sz w:val="18"/>
        </w:rPr>
        <w:t>Figure 3 — Prix acceptable et facteurs de confiance (FICTIF)</w:t>
      </w:r>
    </w:p>
    <w:p>
      <w:pPr>
        <w:pStyle w:val="ListBullet"/>
      </w:pPr>
      <w:r>
        <w:t>74 % des répondants citent un historique live publié comme premier facteur de confiance, contre 31 % pour la performance en backtest : la preuve live est un vrai différenciant.</w:t>
      </w:r>
    </w:p>
    <w:p>
      <w:pPr>
        <w:pStyle w:val="ListBullet"/>
      </w:pPr>
      <w:r>
        <w:t>Tolérance médiane aux fausses alertes : 2 par an (Q9).</w:t>
      </w:r>
    </w:p>
    <w:p>
      <w:pPr>
        <w:pStyle w:val="ListBullet"/>
      </w:pPr>
      <w:r>
        <w:t>41 % des répondants (22) acceptent de tester le prototype (Q11).</w:t>
      </w:r>
    </w:p>
    <w:p>
      <w:pPr>
        <w:pStyle w:val="ListBullet"/>
      </w:pPr>
      <w:r>
        <w:t>Prix médian : environ 4 500 €/an pour les gérants, 55 €/mois pour les CGP — dans le bas de nos hypothèses J1.</w:t>
      </w:r>
    </w:p>
    <w:p>
      <w:pPr>
        <w:pStyle w:val="Heading1"/>
      </w:pPr>
      <w:r>
        <w:t>3. Étude de marché</w:t>
      </w:r>
    </w:p>
    <w:p>
      <w:pPr>
        <w:pStyle w:val="Heading2"/>
      </w:pPr>
      <w:r>
        <w:t>Dimensionnement (TAM / SAM / SOM)</w:t>
      </w:r>
    </w:p>
    <w:p>
      <w:pPr>
        <w:jc w:val="center"/>
      </w:pPr>
      <w:r>
        <w:drawing>
          <wp:inline xmlns:a="http://schemas.openxmlformats.org/drawingml/2006/main" xmlns:pic="http://schemas.openxmlformats.org/drawingml/2006/picture">
            <wp:extent cx="5760000" cy="2353489"/>
            <wp:docPr id="4" name="Picture 4"/>
            <wp:cNvGraphicFramePr>
              <a:graphicFrameLocks noChangeAspect="1"/>
            </wp:cNvGraphicFramePr>
            <a:graphic>
              <a:graphicData uri="http://schemas.openxmlformats.org/drawingml/2006/picture">
                <pic:pic>
                  <pic:nvPicPr>
                    <pic:cNvPr id="0" name="05_marche.png"/>
                    <pic:cNvPicPr/>
                  </pic:nvPicPr>
                  <pic:blipFill>
                    <a:blip r:embed="rId12"/>
                    <a:stretch>
                      <a:fillRect/>
                    </a:stretch>
                  </pic:blipFill>
                  <pic:spPr>
                    <a:xfrm>
                      <a:off x="0" y="0"/>
                      <a:ext cx="5760000" cy="2353489"/>
                    </a:xfrm>
                    <a:prstGeom prst="rect"/>
                  </pic:spPr>
                </pic:pic>
              </a:graphicData>
            </a:graphic>
          </wp:inline>
        </w:drawing>
      </w:r>
    </w:p>
    <w:p>
      <w:pPr>
        <w:jc w:val="center"/>
      </w:pPr>
      <w:r>
        <w:rPr>
          <w:b w:val="0"/>
          <w:i/>
          <w:color w:val="6B7280"/>
          <w:sz w:val="18"/>
        </w:rPr>
        <w:t>Figure 4 — Taille du marché adressable</w:t>
      </w:r>
    </w:p>
    <w:tbl>
      <w:tblPr>
        <w:tblStyle w:val="TableGrid"/>
        <w:tblW w:type="auto" w:w="0"/>
        <w:tblLook w:firstColumn="1" w:firstRow="1" w:lastColumn="0" w:lastRow="0" w:noHBand="0" w:noVBand="1" w:val="04A0"/>
      </w:tblPr>
      <w:tblGrid>
        <w:gridCol w:w="2493"/>
        <w:gridCol w:w="2493"/>
        <w:gridCol w:w="2493"/>
        <w:gridCol w:w="2493"/>
      </w:tblGrid>
      <w:tr>
        <w:tc>
          <w:tcPr>
            <w:tcW w:type="dxa" w:w="850"/>
            <w:shd w:val="clear" w:color="auto" w:fill="1F3A5F"/>
          </w:tcPr>
          <w:p>
            <w:r/>
            <w:r>
              <w:rPr>
                <w:b/>
                <w:color w:val="FFFFFF"/>
                <w:sz w:val="19"/>
              </w:rPr>
              <w:t>Niveau</w:t>
            </w:r>
          </w:p>
        </w:tc>
        <w:tc>
          <w:tcPr>
            <w:tcW w:type="dxa" w:w="4535"/>
            <w:shd w:val="clear" w:color="auto" w:fill="1F3A5F"/>
          </w:tcPr>
          <w:p>
            <w:r/>
            <w:r>
              <w:rPr>
                <w:b/>
                <w:color w:val="FFFFFF"/>
                <w:sz w:val="19"/>
              </w:rPr>
              <w:t>Périmètre</w:t>
            </w:r>
          </w:p>
        </w:tc>
        <w:tc>
          <w:tcPr>
            <w:tcW w:type="dxa" w:w="1587"/>
            <w:shd w:val="clear" w:color="auto" w:fill="1F3A5F"/>
          </w:tcPr>
          <w:p>
            <w:r/>
            <w:r>
              <w:rPr>
                <w:b/>
                <w:color w:val="FFFFFF"/>
                <w:sz w:val="19"/>
              </w:rPr>
              <w:t>Valeur</w:t>
            </w:r>
          </w:p>
        </w:tc>
        <w:tc>
          <w:tcPr>
            <w:tcW w:type="dxa" w:w="2665"/>
            <w:shd w:val="clear" w:color="auto" w:fill="1F3A5F"/>
          </w:tcPr>
          <w:p>
            <w:r/>
            <w:r>
              <w:rPr>
                <w:b/>
                <w:color w:val="FFFFFF"/>
                <w:sz w:val="19"/>
              </w:rPr>
              <w:t>Source / hypothèse</w:t>
            </w:r>
          </w:p>
        </w:tc>
      </w:tr>
      <w:tr>
        <w:tc>
          <w:tcPr>
            <w:tcW w:type="dxa" w:w="850"/>
            <w:shd w:val="clear" w:color="auto" w:fill="F3F4F6"/>
          </w:tcPr>
          <w:p>
            <w:r/>
            <w:r>
              <w:rPr>
                <w:sz w:val="19"/>
              </w:rPr>
              <w:t>TAM</w:t>
            </w:r>
          </w:p>
        </w:tc>
        <w:tc>
          <w:tcPr>
            <w:tcW w:type="dxa" w:w="4535"/>
            <w:shd w:val="clear" w:color="auto" w:fill="F3F4F6"/>
          </w:tcPr>
          <w:p>
            <w:r/>
            <w:r>
              <w:rPr>
                <w:sz w:val="19"/>
              </w:rPr>
              <w:t>Marché mondial de la détection de régimes par IA (2026)</w:t>
            </w:r>
          </w:p>
        </w:tc>
        <w:tc>
          <w:tcPr>
            <w:tcW w:type="dxa" w:w="1587"/>
            <w:shd w:val="clear" w:color="auto" w:fill="F3F4F6"/>
          </w:tcPr>
          <w:p>
            <w:r/>
            <w:r>
              <w:rPr>
                <w:sz w:val="19"/>
              </w:rPr>
              <w:t>≈ 2,1 Md€</w:t>
            </w:r>
          </w:p>
        </w:tc>
        <w:tc>
          <w:tcPr>
            <w:tcW w:type="dxa" w:w="2665"/>
            <w:shd w:val="clear" w:color="auto" w:fill="F3F4F6"/>
          </w:tcPr>
          <w:p>
            <w:r/>
            <w:r>
              <w:rPr>
                <w:sz w:val="19"/>
              </w:rPr>
              <w:t>2,28 Md USD — source J1</w:t>
            </w:r>
          </w:p>
        </w:tc>
      </w:tr>
      <w:tr>
        <w:tc>
          <w:tcPr>
            <w:tcW w:type="dxa" w:w="850"/>
          </w:tcPr>
          <w:p>
            <w:r/>
            <w:r>
              <w:rPr>
                <w:sz w:val="19"/>
              </w:rPr>
              <w:t>SAM</w:t>
            </w:r>
          </w:p>
        </w:tc>
        <w:tc>
          <w:tcPr>
            <w:tcW w:type="dxa" w:w="4535"/>
          </w:tcPr>
          <w:p>
            <w:r/>
            <w:r>
              <w:rPr>
                <w:sz w:val="19"/>
              </w:rPr>
              <w:t>Petits gérants + family offices européens (≈ 3 500 structures × 6 000 €/an)</w:t>
              <w:br/>
              <w:t>+ CGP premium France (≈ 1 150 × 700 €/an)</w:t>
            </w:r>
          </w:p>
        </w:tc>
        <w:tc>
          <w:tcPr>
            <w:tcW w:type="dxa" w:w="1587"/>
          </w:tcPr>
          <w:p>
            <w:r/>
            <w:r>
              <w:rPr>
                <w:sz w:val="19"/>
              </w:rPr>
              <w:t>≈ 22 M€ / an</w:t>
            </w:r>
          </w:p>
        </w:tc>
        <w:tc>
          <w:tcPr>
            <w:tcW w:type="dxa" w:w="2665"/>
          </w:tcPr>
          <w:p>
            <w:r/>
            <w:r>
              <w:rPr>
                <w:sz w:val="19"/>
              </w:rPr>
              <w:t>FICTIF — hypothèses à sourcer</w:t>
            </w:r>
          </w:p>
        </w:tc>
      </w:tr>
      <w:tr>
        <w:tc>
          <w:tcPr>
            <w:tcW w:type="dxa" w:w="850"/>
            <w:shd w:val="clear" w:color="auto" w:fill="F3F4F6"/>
          </w:tcPr>
          <w:p>
            <w:r/>
            <w:r>
              <w:rPr>
                <w:sz w:val="19"/>
              </w:rPr>
              <w:t>SOM</w:t>
            </w:r>
          </w:p>
        </w:tc>
        <w:tc>
          <w:tcPr>
            <w:tcW w:type="dxa" w:w="4535"/>
            <w:shd w:val="clear" w:color="auto" w:fill="F3F4F6"/>
          </w:tcPr>
          <w:p>
            <w:r/>
            <w:r>
              <w:rPr>
                <w:sz w:val="19"/>
              </w:rPr>
              <w:t>Objectif à 3 ans : 50 gérants + 150 CGP</w:t>
            </w:r>
          </w:p>
        </w:tc>
        <w:tc>
          <w:tcPr>
            <w:tcW w:type="dxa" w:w="1587"/>
            <w:shd w:val="clear" w:color="auto" w:fill="F3F4F6"/>
          </w:tcPr>
          <w:p>
            <w:r/>
            <w:r>
              <w:rPr>
                <w:sz w:val="19"/>
              </w:rPr>
              <w:t>≈ 0,4 M€ / an</w:t>
            </w:r>
          </w:p>
        </w:tc>
        <w:tc>
          <w:tcPr>
            <w:tcW w:type="dxa" w:w="2665"/>
            <w:shd w:val="clear" w:color="auto" w:fill="F3F4F6"/>
          </w:tcPr>
          <w:p>
            <w:r/>
            <w:r>
              <w:rPr>
                <w:sz w:val="19"/>
              </w:rPr>
              <w:t>FICTIF — 1,5 % du SAM gérants</w:t>
            </w:r>
          </w:p>
        </w:tc>
      </w:tr>
    </w:tbl>
    <w:p/>
    <w:p>
      <w:r>
        <w:rPr>
          <w:b/>
          <w:i w:val="0"/>
        </w:rPr>
        <w:t>Hypothèses de calcul (FICTIF, à sourcer) :</w:t>
      </w:r>
    </w:p>
    <w:p>
      <w:pPr>
        <w:pStyle w:val="ListBullet"/>
      </w:pPr>
      <w:r>
        <w:t>≈ 3 500 sociétés de gestion de 5 à 50 personnes et family offices en Europe de l'Ouest (France, Luxembourg, Suisse, Belgique, Allemagne, Italie, Espagne). Sources à consulter : AMF (nombre de SGP agréées), EFAMA, annuaires de family offices.</w:t>
      </w:r>
    </w:p>
    <w:p>
      <w:pPr>
        <w:pStyle w:val="ListBullet"/>
      </w:pPr>
      <w:r>
        <w:t>Panier moyen de 6 000 €/an : médiane du questionnaire (4 500 €) + option Europe.</w:t>
      </w:r>
    </w:p>
    <w:p>
      <w:pPr>
        <w:pStyle w:val="ListBullet"/>
      </w:pPr>
      <w:r>
        <w:t>≈ 1 150 CGP premium en France : 15 % des 7 712 CIF (source J1), à 700 €/an (≈ 59 €/mois).</w:t>
      </w:r>
    </w:p>
    <w:p>
      <w:pPr>
        <w:pStyle w:val="ListBullet"/>
      </w:pPr>
      <w:r>
        <w:t>SOM à 3 ans : 50 gérants (1,4 % du SAM) et 150 CGP, soit ≈ 0,4 M€/an.</w:t>
      </w:r>
    </w:p>
    <w:p>
      <w:pPr>
        <w:pStyle w:val="Heading2"/>
      </w:pPr>
      <w:r>
        <w:t>Concurrence et positionnement</w:t>
      </w:r>
    </w:p>
    <w:p>
      <w:pPr>
        <w:jc w:val="center"/>
      </w:pPr>
      <w:r>
        <w:drawing>
          <wp:inline xmlns:a="http://schemas.openxmlformats.org/drawingml/2006/main" xmlns:pic="http://schemas.openxmlformats.org/drawingml/2006/picture">
            <wp:extent cx="5400000" cy="2888867"/>
            <wp:docPr id="5" name="Picture 5"/>
            <wp:cNvGraphicFramePr>
              <a:graphicFrameLocks noChangeAspect="1"/>
            </wp:cNvGraphicFramePr>
            <a:graphic>
              <a:graphicData uri="http://schemas.openxmlformats.org/drawingml/2006/picture">
                <pic:pic>
                  <pic:nvPicPr>
                    <pic:cNvPr id="0" name="06_positionnement.png"/>
                    <pic:cNvPicPr/>
                  </pic:nvPicPr>
                  <pic:blipFill>
                    <a:blip r:embed="rId13"/>
                    <a:stretch>
                      <a:fillRect/>
                    </a:stretch>
                  </pic:blipFill>
                  <pic:spPr>
                    <a:xfrm>
                      <a:off x="0" y="0"/>
                      <a:ext cx="5400000" cy="2888867"/>
                    </a:xfrm>
                    <a:prstGeom prst="rect"/>
                  </pic:spPr>
                </pic:pic>
              </a:graphicData>
            </a:graphic>
          </wp:inline>
        </w:drawing>
      </w:r>
    </w:p>
    <w:p>
      <w:pPr>
        <w:jc w:val="center"/>
      </w:pPr>
      <w:r>
        <w:rPr>
          <w:b w:val="0"/>
          <w:i/>
          <w:color w:val="6B7280"/>
          <w:sz w:val="18"/>
        </w:rPr>
        <w:t>Figure 5 — Carte de positionnement (qualitative)</w:t>
      </w:r>
    </w:p>
    <w:p>
      <w:pPr>
        <w:pStyle w:val="Heading2"/>
      </w:pPr>
      <w:r>
        <w:t>Proposition de grille tarifaire à tester au J3</w:t>
      </w:r>
    </w:p>
    <w:tbl>
      <w:tblPr>
        <w:tblStyle w:val="TableGrid"/>
        <w:tblW w:type="auto" w:w="0"/>
        <w:tblLook w:firstColumn="1" w:firstRow="1" w:lastColumn="0" w:lastRow="0" w:noHBand="0" w:noVBand="1" w:val="04A0"/>
      </w:tblPr>
      <w:tblGrid>
        <w:gridCol w:w="2493"/>
        <w:gridCol w:w="2493"/>
        <w:gridCol w:w="2493"/>
        <w:gridCol w:w="2493"/>
      </w:tblGrid>
      <w:tr>
        <w:tc>
          <w:tcPr>
            <w:tcW w:type="dxa" w:w="1587"/>
            <w:shd w:val="clear" w:color="auto" w:fill="1F3A5F"/>
          </w:tcPr>
          <w:p>
            <w:r/>
            <w:r>
              <w:rPr>
                <w:b/>
                <w:color w:val="FFFFFF"/>
                <w:sz w:val="19"/>
              </w:rPr>
              <w:t>Offre</w:t>
            </w:r>
          </w:p>
        </w:tc>
        <w:tc>
          <w:tcPr>
            <w:tcW w:type="dxa" w:w="2154"/>
            <w:shd w:val="clear" w:color="auto" w:fill="1F3A5F"/>
          </w:tcPr>
          <w:p>
            <w:r/>
            <w:r>
              <w:rPr>
                <w:b/>
                <w:color w:val="FFFFFF"/>
                <w:sz w:val="19"/>
              </w:rPr>
              <w:t>Cible</w:t>
            </w:r>
          </w:p>
        </w:tc>
        <w:tc>
          <w:tcPr>
            <w:tcW w:type="dxa" w:w="3628"/>
            <w:shd w:val="clear" w:color="auto" w:fill="1F3A5F"/>
          </w:tcPr>
          <w:p>
            <w:r/>
            <w:r>
              <w:rPr>
                <w:b/>
                <w:color w:val="FFFFFF"/>
                <w:sz w:val="19"/>
              </w:rPr>
              <w:t>Contenu</w:t>
            </w:r>
          </w:p>
        </w:tc>
        <w:tc>
          <w:tcPr>
            <w:tcW w:type="dxa" w:w="2268"/>
            <w:shd w:val="clear" w:color="auto" w:fill="1F3A5F"/>
          </w:tcPr>
          <w:p>
            <w:r/>
            <w:r>
              <w:rPr>
                <w:b/>
                <w:color w:val="FFFFFF"/>
                <w:sz w:val="19"/>
              </w:rPr>
              <w:t>Prix testé</w:t>
            </w:r>
          </w:p>
        </w:tc>
      </w:tr>
      <w:tr>
        <w:tc>
          <w:tcPr>
            <w:tcW w:type="dxa" w:w="1587"/>
            <w:shd w:val="clear" w:color="auto" w:fill="F3F4F6"/>
          </w:tcPr>
          <w:p>
            <w:r/>
            <w:r>
              <w:rPr>
                <w:sz w:val="19"/>
              </w:rPr>
              <w:t>Vitrine</w:t>
            </w:r>
          </w:p>
        </w:tc>
        <w:tc>
          <w:tcPr>
            <w:tcW w:type="dxa" w:w="2154"/>
            <w:shd w:val="clear" w:color="auto" w:fill="F3F4F6"/>
          </w:tcPr>
          <w:p>
            <w:r/>
            <w:r>
              <w:rPr>
                <w:sz w:val="19"/>
              </w:rPr>
              <w:t>Particuliers, prospects</w:t>
            </w:r>
          </w:p>
        </w:tc>
        <w:tc>
          <w:tcPr>
            <w:tcW w:type="dxa" w:w="3628"/>
            <w:shd w:val="clear" w:color="auto" w:fill="F3F4F6"/>
          </w:tcPr>
          <w:p>
            <w:r/>
            <w:r>
              <w:rPr>
                <w:sz w:val="19"/>
              </w:rPr>
              <w:t>Régime en différé d'une semaine</w:t>
            </w:r>
          </w:p>
        </w:tc>
        <w:tc>
          <w:tcPr>
            <w:tcW w:type="dxa" w:w="2268"/>
            <w:shd w:val="clear" w:color="auto" w:fill="F3F4F6"/>
          </w:tcPr>
          <w:p>
            <w:r/>
            <w:r>
              <w:rPr>
                <w:sz w:val="19"/>
              </w:rPr>
              <w:t>Gratuit</w:t>
            </w:r>
          </w:p>
        </w:tc>
      </w:tr>
      <w:tr>
        <w:tc>
          <w:tcPr>
            <w:tcW w:type="dxa" w:w="1587"/>
          </w:tcPr>
          <w:p>
            <w:r/>
            <w:r>
              <w:rPr>
                <w:sz w:val="19"/>
              </w:rPr>
              <w:t>Conseiller</w:t>
            </w:r>
          </w:p>
        </w:tc>
        <w:tc>
          <w:tcPr>
            <w:tcW w:type="dxa" w:w="2154"/>
          </w:tcPr>
          <w:p>
            <w:r/>
            <w:r>
              <w:rPr>
                <w:sz w:val="19"/>
              </w:rPr>
              <w:t>CGP / CIF</w:t>
            </w:r>
          </w:p>
        </w:tc>
        <w:tc>
          <w:tcPr>
            <w:tcW w:type="dxa" w:w="3628"/>
          </w:tcPr>
          <w:p>
            <w:r/>
            <w:r>
              <w:rPr>
                <w:sz w:val="19"/>
              </w:rPr>
              <w:t>Régime quotidien + commentaire client</w:t>
            </w:r>
          </w:p>
        </w:tc>
        <w:tc>
          <w:tcPr>
            <w:tcW w:type="dxa" w:w="2268"/>
          </w:tcPr>
          <w:p>
            <w:r/>
            <w:r>
              <w:rPr>
                <w:sz w:val="19"/>
              </w:rPr>
              <w:t>49-69 €/mois</w:t>
            </w:r>
          </w:p>
        </w:tc>
      </w:tr>
      <w:tr>
        <w:tc>
          <w:tcPr>
            <w:tcW w:type="dxa" w:w="1587"/>
            <w:shd w:val="clear" w:color="auto" w:fill="F3F4F6"/>
          </w:tcPr>
          <w:p>
            <w:r/>
            <w:r>
              <w:rPr>
                <w:sz w:val="19"/>
              </w:rPr>
              <w:t>Gérant</w:t>
            </w:r>
          </w:p>
        </w:tc>
        <w:tc>
          <w:tcPr>
            <w:tcW w:type="dxa" w:w="2154"/>
            <w:shd w:val="clear" w:color="auto" w:fill="F3F4F6"/>
          </w:tcPr>
          <w:p>
            <w:r/>
            <w:r>
              <w:rPr>
                <w:sz w:val="19"/>
              </w:rPr>
              <w:t>SGP, family offices</w:t>
            </w:r>
          </w:p>
        </w:tc>
        <w:tc>
          <w:tcPr>
            <w:tcW w:type="dxa" w:w="3628"/>
            <w:shd w:val="clear" w:color="auto" w:fill="F3F4F6"/>
          </w:tcPr>
          <w:p>
            <w:r/>
            <w:r>
              <w:rPr>
                <w:sz w:val="19"/>
              </w:rPr>
              <w:t>Rapport de comité + alertes + historique</w:t>
            </w:r>
          </w:p>
        </w:tc>
        <w:tc>
          <w:tcPr>
            <w:tcW w:type="dxa" w:w="2268"/>
            <w:shd w:val="clear" w:color="auto" w:fill="F3F4F6"/>
          </w:tcPr>
          <w:p>
            <w:r/>
            <w:r>
              <w:rPr>
                <w:sz w:val="19"/>
              </w:rPr>
              <w:t>300-500 €/mois</w:t>
            </w:r>
          </w:p>
        </w:tc>
      </w:tr>
      <w:tr>
        <w:tc>
          <w:tcPr>
            <w:tcW w:type="dxa" w:w="1587"/>
          </w:tcPr>
          <w:p>
            <w:r/>
            <w:r>
              <w:rPr>
                <w:sz w:val="19"/>
              </w:rPr>
              <w:t>Gérant Europe</w:t>
            </w:r>
          </w:p>
        </w:tc>
        <w:tc>
          <w:tcPr>
            <w:tcW w:type="dxa" w:w="2154"/>
          </w:tcPr>
          <w:p>
            <w:r/>
            <w:r>
              <w:rPr>
                <w:sz w:val="19"/>
              </w:rPr>
              <w:t>SGP européennes</w:t>
            </w:r>
          </w:p>
        </w:tc>
        <w:tc>
          <w:tcPr>
            <w:tcW w:type="dxa" w:w="3628"/>
          </w:tcPr>
          <w:p>
            <w:r/>
            <w:r>
              <w:rPr>
                <w:sz w:val="19"/>
              </w:rPr>
              <w:t>Offre Gérant + version Europe</w:t>
            </w:r>
          </w:p>
        </w:tc>
        <w:tc>
          <w:tcPr>
            <w:tcW w:type="dxa" w:w="2268"/>
          </w:tcPr>
          <w:p>
            <w:r/>
            <w:r>
              <w:rPr>
                <w:sz w:val="19"/>
              </w:rPr>
              <w:t>600-800 €/mois</w:t>
            </w:r>
          </w:p>
        </w:tc>
      </w:tr>
    </w:tbl>
    <w:p/>
    <w:p>
      <w:pPr>
        <w:pStyle w:val="Heading1"/>
      </w:pPr>
      <w:r>
        <w:t>4. Limites méthodologiques</w:t>
      </w:r>
    </w:p>
    <w:p>
      <w:pPr>
        <w:pStyle w:val="ListBullet"/>
      </w:pPr>
      <w:r>
        <w:t>Échantillon de convenance (réseau, LinkedIn) : biais vers les profils intéressés par la data.</w:t>
      </w:r>
    </w:p>
    <w:p>
      <w:pPr>
        <w:pStyle w:val="ListBullet"/>
      </w:pPr>
      <w:r>
        <w:t>13 entretiens : suffisant pour repérer une douleur, pas pour estimer un prix.</w:t>
      </w:r>
    </w:p>
    <w:p>
      <w:pPr>
        <w:pStyle w:val="ListBullet"/>
      </w:pPr>
      <w:r>
        <w:t>Déclaratif : « prêt à payer » ne veut pas dire « paiera ». La seule preuve forte serait une lettre d'intention.</w:t>
      </w:r>
    </w:p>
    <w:p>
      <w:pPr>
        <w:pStyle w:val="ListBullet"/>
      </w:pPr>
      <w:r>
        <w:t>Les délais de réaction déclarés (Q6) sont reconstruits de mémoire.</w:t>
      </w:r>
    </w:p>
    <w:p>
      <w:pPr>
        <w:pStyle w:val="ListBullet"/>
      </w:pPr>
      <w:r>
        <w:t>Le SAM repose sur des hypothèses de nombre de structures à confirmer par des sources officielles.</w:t>
      </w:r>
    </w:p>
    <w:p>
      <w:r>
        <w:rPr>
          <w:b/>
          <w:i w:val="0"/>
          <w:color w:val="1F3A5F"/>
        </w:rPr>
        <w:t>Dire ces limites à l'oral est un point fort, pas une faiblesse.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