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Silent Witness Contract Review - tenderguard_ai-1.pdf</w:t>
      </w:r>
    </w:p>
    <w:p>
      <w:r>
        <w:t/>
      </w:r>
    </w:p>
    <w:p>
      <w:r>
        <w:t>Mike tabular extraction with clause-level risk findings.</w:t>
      </w:r>
    </w:p>
    <w:p>
      <w:r>
        <w:t/>
      </w:r>
    </w:p>
    <w:p>
      <w:r>
        <w:t/>
      </w:r>
    </w:p>
    <w:p>
      <w:r>
        <w:t>1. IP ownership / license</w:t>
      </w:r>
    </w:p>
    <w:p>
      <w:r>
        <w:t>Risk: HIGH (16 pts)</w:t>
      </w:r>
    </w:p>
    <w:p>
      <w:r>
        <w:t>Extract: PF &amp; paramilitary forces Defence procurement boards PSUs &amp; central ministries State government agencies Revenue Model Annual SaaS license per agency · Per-tender usage pricing · Implementation &amp; training services</w:t>
      </w:r>
    </w:p>
    <w:p>
      <w:r>
        <w:t>Legal implication: May affect ownership or use of created materials. Confirm assignment, retained rights, and license duration.</w:t>
      </w:r>
    </w:p>
    <w:p>
      <w:r>
        <w:t>Citation: Extracted PDF text</w:t>
      </w:r>
    </w:p>
    <w:sectPr/>
  </w:body>
</w:document>
</file>