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22"/>
        </w:rPr>
        <w:t>TAIZHOU</w:t>
      </w:r>
    </w:p>
    <w:p>
      <w:pPr>
        <w:spacing w:after="24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74"/>
        </w:rPr>
        <w:t>TAIZHOU品牌企业白皮书</w:t>
      </w:r>
    </w:p>
    <w:p>
      <w:pPr>
        <w:spacing w:after="140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28"/>
        </w:rPr>
        <w:t>2026—2030</w:t>
      </w:r>
    </w:p>
    <w:p>
      <w:pPr>
        <w:spacing w:after="280" w:line="324" w:lineRule="auto"/>
        <w:jc w:val="left"/>
      </w:pPr>
      <w:r>
        <w:rPr>
          <w:rFonts w:ascii="Hiragino Sans GB" w:hAnsi="Hiragino Sans GB" w:eastAsia="Hiragino Sans GB"/>
          <w:b w:val="0"/>
          <w:color w:val="424245"/>
          <w:sz w:val="24"/>
        </w:rPr>
        <w:t>企业战略、组织治理、多品牌经营、</w:t>
        <w:br/>
        <w:t>商品研发、视觉传播与品牌资产体系</w:t>
      </w:r>
    </w:p>
    <w:p>
      <w:pPr>
        <w:spacing w:after="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8"/>
        </w:rPr>
        <w:t>TAIZHOU BRAND ENTERPRISE WHITE PAPER</w:t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CORE THESIS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TAIZHOU不是第四个消费品牌。</w:t>
      </w:r>
    </w:p>
    <w:p>
      <w:pPr>
        <w:spacing w:after="240" w:line="324" w:lineRule="auto"/>
        <w:jc w:val="left"/>
      </w:pPr>
      <w:r>
        <w:rPr>
          <w:rFonts w:ascii="Hiragino Sans GB" w:hAnsi="Hiragino Sans GB" w:eastAsia="Hiragino Sans GB"/>
          <w:b w:val="0"/>
          <w:color w:val="424245"/>
          <w:sz w:val="22"/>
        </w:rPr>
        <w:t>它是多个消费品牌背后的产业、组织与治理系统。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spacing w:after="40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4"/>
        </w:rPr>
        <w:t>公司承载责任。治理建立秩序。品牌创造价值。数据推动进化。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两家公司负责研发、制造、品质与履约。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三个品牌分别承担规模、价值和增长任务。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共享能力提高效率，独立表达创造品牌价值。</w:t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CONTENTS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白皮书目录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章节</w:t>
            </w:r>
          </w:p>
        </w:tc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核心问题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01 企业与治理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TAIZHOU是什么，谁决策、谁负责、谁交付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02 多品牌战略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为什么需要万棉尚品、GEERNA与UIUP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03 商品与材料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商品如何开发、分流、测试与复盘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04 品牌视觉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三套品牌如何被用户一眼区分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05 传播与经营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内容、渠道、预算与数据如何增长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06 五年方向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2026—2030如何形成品牌生态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01 / ENTERPRISE AND GOVERNANCE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两家公司建立能力，三个品牌创造市场价值。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4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CORPORATE PHILOSOPHY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好的服装，不是被制造出来的。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spacing w:after="400" w:line="324" w:lineRule="auto"/>
        <w:jc w:val="left"/>
      </w:pPr>
      <w:r>
        <w:rPr>
          <w:rFonts w:ascii="Hiragino Sans GB" w:hAnsi="Hiragino Sans GB" w:eastAsia="Hiragino Sans GB"/>
          <w:b w:val="0"/>
          <w:color w:val="424245"/>
          <w:sz w:val="34"/>
        </w:rPr>
        <w:t>它从材料、设计、工艺、制造与人的真实体验中共同形成。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文化主张</w:t>
            </w:r>
          </w:p>
        </w:tc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经营翻译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正直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材料有依据，承诺不夸大，问题不回避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进取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持续优化材料、版型、商品与经营标准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协作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商品、设计、制造、渠道和服务共同负责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创新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让材料、工艺和数据转化为新体验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品质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标准清楚、过程可追溯、交付稳定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责任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尊重环境、伙伴、员工和长期价值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GOVERNANCE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方向、规则与结果，必须分层治理。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层级</w:t>
            </w:r>
          </w:p>
        </w:tc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主要职责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领导与战略决策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企业方向、品牌组合、年度目标、预算和重大风险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公司治理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组织、财务、供应链、制造效率、数据和风险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品牌治理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定位、商品边界、视觉资产、价格、渠道和品牌健康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品牌经营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商品、内容、销售、用户、库存与损益结果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02 / MULTI-BRAND STRATEGY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同一产业底座，三套独立的品牌操作系统。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47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00" w:line="324" w:lineRule="auto"/>
        <w:jc w:val="left"/>
      </w:pPr>
      <w:r>
        <w:rPr>
          <w:rFonts w:ascii="Hiragino Sans GB" w:hAnsi="Hiragino Sans GB" w:eastAsia="Hiragino Sans GB"/>
          <w:b/>
          <w:color w:val="C6B39B"/>
          <w:sz w:val="28"/>
        </w:rPr>
        <w:t>WANMIAN / 万棉尚品</w:t>
      </w:r>
    </w:p>
    <w:p>
      <w:pPr>
        <w:spacing w:after="40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8"/>
        </w:rPr>
        <w:t>让舒适成为每天都能感受到的价值。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25—45岁成熟日常女性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体感舒适生活方式女装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规模、复购和稳定现金流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温暖、自然、可靠、真实体感</w:t>
      </w:r>
    </w:p>
    <w:p>
      <w:r>
        <w:br w:type="page"/>
      </w:r>
    </w:p>
    <w:p>
      <w:pPr>
        <w:spacing w:after="700" w:line="324" w:lineRule="auto"/>
        <w:jc w:val="left"/>
      </w:pPr>
      <w:r>
        <w:rPr>
          <w:rFonts w:ascii="Hiragino Sans GB" w:hAnsi="Hiragino Sans GB" w:eastAsia="Hiragino Sans GB"/>
          <w:b/>
          <w:color w:val="2A2927"/>
          <w:sz w:val="28"/>
        </w:rPr>
        <w:t>GEERNA / 哥尔纳</w:t>
      </w:r>
    </w:p>
    <w:p>
      <w:pPr>
        <w:spacing w:after="40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8"/>
        </w:rPr>
        <w:t>材料决定触感，廓形决定态度。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25—45岁品质都市女性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极简高阶女装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品牌高度、客单、利润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材料、廓形、建筑、长期衣橱</w:t>
      </w:r>
    </w:p>
    <w:p>
      <w:r>
        <w:br w:type="page"/>
      </w:r>
    </w:p>
    <w:p>
      <w:pPr>
        <w:spacing w:after="700" w:line="324" w:lineRule="auto"/>
        <w:jc w:val="left"/>
      </w:pPr>
      <w:r>
        <w:rPr>
          <w:rFonts w:ascii="Hiragino Sans GB" w:hAnsi="Hiragino Sans GB" w:eastAsia="Hiragino Sans GB"/>
          <w:b/>
          <w:color w:val="6D7885"/>
          <w:sz w:val="28"/>
        </w:rPr>
        <w:t>UIUP</w:t>
      </w:r>
    </w:p>
    <w:p>
      <w:pPr>
        <w:spacing w:after="40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8"/>
        </w:rPr>
        <w:t>身体向上，风格向前。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18—25岁年轻趋势女性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年轻体感轻户外女装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新客、内容和增长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身体、城市、动态、轻机能</w:t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BRAND FIREWALL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可以共享能力，但不能模糊品牌边界。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共享</w:t>
            </w:r>
          </w:p>
        </w:tc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必须独立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材料研发、制造、供应链、品质、数据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定位、用户、商品、价格、视觉、内容、渠道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专业团队和基础技术能力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核心模特、主场景、详情页母版、包装系统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经营数据平台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品牌用户资产和日常经营目标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03 / PRODUCT AND MATERIAL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商品不是从设计开始，而是从用户需求开始。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47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MATERIAL PLATFORMS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材料不是宣传概念，而是用户可以直接感受到的差异。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平台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代表材料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产品价值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高阶天然纤维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牦牛绒、羊毛羊绒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品牌高度、材质故事、高客单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稳定羊毛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抗起球羊毛、精纺羊毛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品质、耐穿、长期衣橱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体感保暖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新德绒、空气层、轻暖复合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轻暖、结构、秋冬规模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亲肤肌底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莫代尔、莱赛尔及混纺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亲肤、垂坠、跨季复购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PRODUCT EVIDENCE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每一个品牌，都必须有属于自己的代表产品。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品牌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代表产品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购买理由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万棉尚品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体感打底、舒适针织裤、空气层卫衣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亲肤、修饰、稳定、日常复购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GEERNA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材质打底、廓形针织裤、极简外套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材料、结构、比例、长期价值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UIUP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修身打底、动态针织裤、轻户外套装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身体比例、弹力、城市与内容传播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04 / BRAND VISUAL SYSTEMS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一个企业视觉系统，三套品牌视觉语言。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系统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视觉关键词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主色方向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TAIZHOU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材料、科技、秩序、准确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白、黑、灰、深红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万棉尚品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温暖、自然、生活、体感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暖白、燕麦、肤色、深咖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GEERNA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材质、空间、廓形、克制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石色、深棕、黑、银灰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UIUP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身体、城市、动态、轻机能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冷白、石墨、银灰、少量亮色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APPLE-INSPIRED EDITORIAL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大标题表达判断，留白建立秩序。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一页只表达一个核心观点。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结论先行，结构和证据随后。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核心图占有效页面宽度82%—90%。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减少圆角卡片、中心放射图、渐变和阴影。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7E2027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color w:val="424245"/>
          <w:sz w:val="21"/>
        </w:rPr>
        <w:t>品牌先让人感受到，再解释规则，最后证明落地。</w:t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05 / MEDIA AND OPERATION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从品牌认知，到购买、体验与复购。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阶段</w:t>
            </w:r>
          </w:p>
        </w:tc>
        <w:tc>
          <w:tcPr>
            <w:tcW w:type="dxa" w:w="481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主要内容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认知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企业实力、品牌态度、场景与人物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兴趣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穿搭、材料故事、动态内容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理解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面料、版型、工艺、功能与价格价值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转化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详情页、达人、直播、私域与客服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体验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包装、履约、穿着、售后</w:t>
            </w:r>
          </w:p>
        </w:tc>
      </w:tr>
      <w:tr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复购</w:t>
            </w:r>
          </w:p>
        </w:tc>
        <w:tc>
          <w:tcPr>
            <w:tcW w:type="dxa" w:w="481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会员、新色、系列延伸、用户分享</w:t>
            </w:r>
          </w:p>
        </w:tc>
      </w:tr>
    </w:tbl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PLANNING ASSUMPTIONS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54"/>
        </w:rPr>
        <w:t>品牌经营必须能够独立核算。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品牌</w:t>
            </w:r>
          </w:p>
        </w:tc>
        <w:tc>
          <w:tcPr>
            <w:tcW w:type="dxa" w:w="240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年度上市款</w:t>
            </w:r>
          </w:p>
        </w:tc>
        <w:tc>
          <w:tcPr>
            <w:tcW w:type="dxa" w:w="240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核心目标</w:t>
            </w:r>
          </w:p>
        </w:tc>
        <w:tc>
          <w:tcPr>
            <w:tcW w:type="dxa" w:w="2409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价格带（CNY）</w:t>
            </w:r>
          </w:p>
        </w:tc>
      </w:tr>
      <w:tr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万棉尚品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110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规模、复购、库存效率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79—499</w:t>
            </w:r>
          </w:p>
        </w:tc>
      </w:tr>
      <w:tr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GEERNA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70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客单、毛利、品牌资产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199—1999</w:t>
            </w:r>
          </w:p>
        </w:tc>
      </w:tr>
      <w:tr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UIUP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60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新客、内容、测试效率</w:t>
            </w:r>
          </w:p>
        </w:tc>
        <w:tc>
          <w:tcPr>
            <w:tcW w:type="dxa" w:w="2409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99—699</w:t>
            </w:r>
          </w:p>
        </w:tc>
      </w:tr>
    </w:tbl>
    <w:p>
      <w:pPr>
        <w:spacing w:after="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PLANNING ASSUMPTION / 企划模拟值，正式执行前以年度预算与审批结果为准。</w:t>
      </w:r>
    </w:p>
    <w:p>
      <w:r>
        <w:br w:type="page"/>
      </w:r>
    </w:p>
    <w:p>
      <w:pPr>
        <w:spacing w:after="14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17"/>
        </w:rPr>
        <w:t>06 / FIVE-YEAR DIRECTION</w:t>
      </w:r>
    </w:p>
    <w:p>
      <w:pPr>
        <w:spacing w:after="18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45"/>
        </w:rPr>
        <w:t>五年不是简单增长，而是品牌能力逐级形成。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30"/>
        </w:rPr>
        <w:t>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年度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阶段</w:t>
            </w:r>
          </w:p>
        </w:tc>
        <w:tc>
          <w:tcPr>
            <w:tcW w:type="dxa" w:w="3213"/>
            <w:vAlign w:val="center"/>
            <w:tcBorders>
              <w:bottom w:val="single" w:sz="10" w:color="7E2027"/>
            </w:tcBorders>
          </w:tcPr>
          <w:p>
            <w:r>
              <w:rPr>
                <w:rFonts w:ascii="Hiragino Sans GB" w:hAnsi="Hiragino Sans GB" w:eastAsia="Hiragino Sans GB"/>
                <w:b/>
                <w:color w:val="1D1D1F"/>
                <w:sz w:val="19"/>
              </w:rPr>
              <w:t>重点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2026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基础建设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定位、治理、视觉、商品母版和市场测试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2027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市场验证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用户、产品、价格、渠道和品牌经济性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2028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体系完善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商品、制造、传播、数据和治理标准化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2029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规模复制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复制成熟产品与有效渠道</w:t>
            </w:r>
          </w:p>
        </w:tc>
      </w:tr>
      <w:tr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2030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品牌生态</w:t>
            </w:r>
          </w:p>
        </w:tc>
        <w:tc>
          <w:tcPr>
            <w:tcW w:type="dxa" w:w="3213"/>
            <w:tcBorders>
              <w:bottom w:val="single" w:sz="4" w:color="E5E5E5"/>
            </w:tcBorders>
          </w:tcPr>
          <w:p>
            <w:r>
              <w:rPr>
                <w:rFonts w:ascii="Hiragino Sans GB" w:hAnsi="Hiragino Sans GB" w:eastAsia="Hiragino Sans GB"/>
                <w:b w:val="0"/>
                <w:color w:val="424245"/>
                <w:sz w:val="18"/>
              </w:rPr>
              <w:t>材料、商品、品牌、用户和数据闭环</w:t>
            </w:r>
          </w:p>
        </w:tc>
      </w:tr>
    </w:tbl>
    <w:p>
      <w:r>
        <w:br w:type="page"/>
      </w:r>
    </w:p>
    <w:p>
      <w:pPr>
        <w:spacing w:after="1100" w:line="324" w:lineRule="auto"/>
        <w:jc w:val="left"/>
      </w:pPr>
      <w:r>
        <w:rPr>
          <w:rFonts w:ascii="Hiragino Sans GB" w:hAnsi="Hiragino Sans GB" w:eastAsia="Hiragino Sans GB"/>
          <w:b/>
          <w:color w:val="86868B"/>
          <w:sz w:val="22"/>
        </w:rPr>
        <w:t>TAIZHOU</w:t>
      </w:r>
    </w:p>
    <w:p>
      <w:pPr>
        <w:spacing w:after="560" w:line="324" w:lineRule="auto"/>
        <w:jc w:val="left"/>
      </w:pPr>
      <w:r>
        <w:rPr>
          <w:rFonts w:ascii="Hiragino Sans GB" w:hAnsi="Hiragino Sans GB" w:eastAsia="Hiragino Sans GB"/>
          <w:b/>
          <w:color w:val="1D1D1F"/>
          <w:sz w:val="68"/>
        </w:rPr>
        <w:t>FROM INDUSTRIAL CAPABILITY</w:t>
        <w:br/>
        <w:t>TO BRAND VALUE</w:t>
      </w:r>
    </w:p>
    <w:p>
      <w:pPr>
        <w:spacing w:after="1300" w:line="324" w:lineRule="auto"/>
        <w:jc w:val="left"/>
      </w:pPr>
      <w:r>
        <w:rPr>
          <w:rFonts w:ascii="Hiragino Sans GB" w:hAnsi="Hiragino Sans GB" w:eastAsia="Hiragino Sans GB"/>
          <w:b w:val="0"/>
          <w:color w:val="424245"/>
          <w:sz w:val="34"/>
        </w:rPr>
        <w:t>从产业能力出发，</w:t>
        <w:br/>
        <w:t>让商品形成价值，</w:t>
        <w:br/>
        <w:t>让品牌连接用户，</w:t>
        <w:br/>
        <w:t>让数据推动下一轮增长。</w:t>
      </w:r>
    </w:p>
    <w:p>
      <w:pPr>
        <w:spacing w:after="160" w:line="324" w:lineRule="auto"/>
        <w:jc w:val="left"/>
      </w:pPr>
      <w:r>
        <w:rPr>
          <w:rFonts w:ascii="Hiragino Sans GB" w:hAnsi="Hiragino Sans GB" w:eastAsia="Hiragino Sans GB"/>
          <w:b/>
          <w:color w:val="7E2027"/>
          <w:sz w:val="22"/>
        </w:rPr>
        <w:t>WANMIAN  ·  GEERNA  ·  UIUP</w:t>
      </w:r>
    </w:p>
    <w:p>
      <w:pPr>
        <w:spacing w:after="0" w:line="324" w:lineRule="auto"/>
        <w:jc w:val="left"/>
      </w:pPr>
      <w:r>
        <w:rPr>
          <w:rFonts w:ascii="Hiragino Sans GB" w:hAnsi="Hiragino Sans GB" w:eastAsia="Hiragino Sans GB"/>
          <w:b w:val="0"/>
          <w:color w:val="86868B"/>
          <w:sz w:val="17"/>
        </w:rPr>
        <w:t>TAIZHOU BRAND ENTERPRISE WHITE PAPER</w:t>
      </w:r>
    </w:p>
    <w:sectPr>
      <w:pgSz w:w="11906" w:h="16838"/>
      <w:pgMar w:top="964" w:right="1106" w:bottom="85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  <w:defaultImageDpi w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TAIZHOU品牌企业白皮书</dc:title>
  <dc:subject>Public example for a multi-brand fashion enterprise</dc:subject>
  <dc:creator>TAIZHOU</dc:creator>
  <cp:keywords>TAIZHOU, brand white paper, fashion enterprise, 万棉尚品, GEERNA, UIUP</cp:keywords>
  <dc:description>generated by python-docx</dc:description>
  <cp:lastModifiedBy/>
  <cp:revision>1</cp:revision>
  <cp:category/>
</cp:coreProperties>
</file>