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AXV Mission Brief — Digital Safety Net (v0.2)</w:t>
      </w:r>
    </w:p>
    <w:p>
      <w:pPr>
        <w:pStyle w:val="Heading2"/>
      </w:pPr>
      <w:r>
        <w:t>0. Nowe w v0.2</w:t>
      </w:r>
    </w:p>
    <w:p>
      <w:r>
        <w:t>• dokładniejszy opis risk scoring engine</w:t>
      </w:r>
    </w:p>
    <w:p>
      <w:r>
        <w:t>• precyzyjny opt-in flow i warunki aktywacji</w:t>
      </w:r>
    </w:p>
    <w:p>
      <w:r>
        <w:t>• analiza trzech modeli powiadomień</w:t>
      </w:r>
    </w:p>
    <w:p>
      <w:r>
        <w:t>• wstępny compliance plan (UE/USA)</w:t>
      </w:r>
    </w:p>
    <w:p>
      <w:r>
        <w:t>• zestaw guardrails technicznych i etycznych</w:t>
      </w:r>
    </w:p>
    <w:p>
      <w:r>
        <w:t>• pełna roadmapa v0.3–v1.0</w:t>
      </w:r>
    </w:p>
    <w:p>
      <w:pPr>
        <w:pStyle w:val="Heading2"/>
      </w:pPr>
      <w:r>
        <w:t>1. Misja i filozofia projektu</w:t>
      </w:r>
    </w:p>
    <w:p>
      <w:r>
        <w:t>Digital Safety Net to dobrowolny, etyczny system wykrywania wczesnych sygnałów kryzysowych.</w:t>
      </w:r>
    </w:p>
    <w:p>
      <w:r>
        <w:t>AI pełni rolę sentinela — czujnika ryzyka, ale interwencja zawsze należy do człowieka.</w:t>
      </w:r>
    </w:p>
    <w:p>
      <w:r>
        <w:t>Celem jest stworzenie cyfrowej „linii życia”, aktywnej tylko wtedy, gdy użytkownik świadomie ją włączy.</w:t>
      </w:r>
    </w:p>
    <w:p>
      <w:pPr>
        <w:pStyle w:val="Heading2"/>
      </w:pPr>
      <w:r>
        <w:t>2. Opt‑in Design (fundament etyczny)</w:t>
      </w:r>
    </w:p>
    <w:p>
      <w:r>
        <w:t>System działa tylko po dobrowolnej aktywacji.</w:t>
      </w:r>
    </w:p>
    <w:p/>
    <w:p>
      <w:r>
        <w:t>Kroki opt‑in:</w:t>
      </w:r>
    </w:p>
    <w:p>
      <w:r>
        <w:t>1. Użytkownik zgadza się na powiadamianie bliskiej osoby w sytuacjach kryzysu.</w:t>
      </w:r>
    </w:p>
    <w:p>
      <w:r>
        <w:t>2. Wybiera 1–3 kontaktów SOS.</w:t>
      </w:r>
    </w:p>
    <w:p>
      <w:r>
        <w:t>3. Potwierdza, że treści rozmowy nie będą przekazywane.</w:t>
      </w:r>
    </w:p>
    <w:p>
      <w:r>
        <w:t>4. Może wyłączyć system w dowolnym momencie.</w:t>
      </w:r>
    </w:p>
    <w:p>
      <w:pPr>
        <w:pStyle w:val="Heading2"/>
      </w:pPr>
      <w:r>
        <w:t>3. Risk Detection Engine (RDE) – serce systemu</w:t>
      </w:r>
    </w:p>
    <w:p>
      <w:r>
        <w:t>Trzy warstwy sygnałów:</w:t>
      </w:r>
    </w:p>
    <w:p/>
    <w:p>
      <w:r>
        <w:t>A. High-Risk Direct — wypowiedzi bezpośrednie.</w:t>
      </w:r>
    </w:p>
    <w:p>
      <w:r>
        <w:t>B. Medium-Risk Indirect — sygnały pośrednie.</w:t>
      </w:r>
    </w:p>
    <w:p>
      <w:r>
        <w:t>C. Pattern-Risk — wzorce w czasie.</w:t>
      </w:r>
    </w:p>
    <w:p>
      <w:pPr>
        <w:pStyle w:val="Heading2"/>
      </w:pPr>
      <w:r>
        <w:t>4. Risk Score v0.2</w:t>
      </w:r>
    </w:p>
    <w:p>
      <w:r>
        <w:t>Zakres 0–100.</w:t>
      </w:r>
    </w:p>
    <w:p>
      <w:r>
        <w:t>• 0–30: niski</w:t>
      </w:r>
    </w:p>
    <w:p>
      <w:r>
        <w:t>• 30–50: średni</w:t>
      </w:r>
    </w:p>
    <w:p>
      <w:r>
        <w:t>• 50–70: podwyższony</w:t>
      </w:r>
    </w:p>
    <w:p>
      <w:r>
        <w:t>• 70–90: wysoki</w:t>
      </w:r>
    </w:p>
    <w:p>
      <w:r>
        <w:t>• 90–100: krytyczny — możliwe powiadomienie (tylko przy opt‑in).</w:t>
      </w:r>
    </w:p>
    <w:p/>
    <w:p>
      <w:r>
        <w:t>Powiadomienie wysyła się dopiero po ≥3 interakcjach o RS ≥ 90.</w:t>
      </w:r>
    </w:p>
    <w:p>
      <w:pPr>
        <w:pStyle w:val="Heading2"/>
      </w:pPr>
      <w:r>
        <w:t>5. Trzy modele powiadomień</w:t>
      </w:r>
    </w:p>
    <w:p>
      <w:r>
        <w:t>Model Minimalny: SMS/Push z prośbą o kontakt.</w:t>
      </w:r>
    </w:p>
    <w:p>
      <w:r>
        <w:t>Model z potwierdzeniem: AI pyta użytkownika przed wysyłką.</w:t>
      </w:r>
    </w:p>
    <w:p>
      <w:r>
        <w:t>Model NGO: powiadomienie trafia do konsultanta kryzysowego.</w:t>
      </w:r>
    </w:p>
    <w:p>
      <w:pPr>
        <w:pStyle w:val="Heading2"/>
      </w:pPr>
      <w:r>
        <w:t>6. Zabezpieczenia (Guardrails)</w:t>
      </w:r>
    </w:p>
    <w:p>
      <w:r>
        <w:t>• Brak geolokalizacji</w:t>
      </w:r>
    </w:p>
    <w:p>
      <w:r>
        <w:t>• Brak dostępu do treści rozmowy w powiadomieniu</w:t>
      </w:r>
    </w:p>
    <w:p>
      <w:r>
        <w:t>• Brak kontaktu ze służbami</w:t>
      </w:r>
    </w:p>
    <w:p>
      <w:r>
        <w:t>• Test/Role‑play whitelist</w:t>
      </w:r>
    </w:p>
    <w:p>
      <w:r>
        <w:t>• Fałszywe alarmy minimalizowane przez pattern detection</w:t>
      </w:r>
    </w:p>
    <w:p>
      <w:r>
        <w:t>• Możliwość natychmiastowego wyłączenia</w:t>
      </w:r>
    </w:p>
    <w:p>
      <w:pPr>
        <w:pStyle w:val="Heading2"/>
      </w:pPr>
      <w:r>
        <w:t>7. Prawne fundamenty</w:t>
      </w:r>
    </w:p>
    <w:p>
      <w:r>
        <w:t>UE – zgodność z GDPR i AI Act.</w:t>
      </w:r>
    </w:p>
    <w:p>
      <w:r>
        <w:t>USA – zgodne z zasadami HIPAA dla narzędzi nie-medycznych.</w:t>
      </w:r>
    </w:p>
    <w:p>
      <w:r>
        <w:t>Australia/Kanada – wspiera „duty of care”.</w:t>
      </w:r>
    </w:p>
    <w:p>
      <w:r>
        <w:t>Kraje autorytarne – lokalne szyfrowanie i minimalizacja logów.</w:t>
      </w:r>
    </w:p>
    <w:p>
      <w:pPr>
        <w:pStyle w:val="Heading2"/>
      </w:pPr>
      <w:r>
        <w:t>8. Roadmap v0.2 → v1.0</w:t>
      </w:r>
    </w:p>
    <w:p>
      <w:r>
        <w:t>v0.3 — formalizacja risk score</w:t>
      </w:r>
    </w:p>
    <w:p>
      <w:r>
        <w:t>v0.4 — scenki PHQA dedykowane Digital Safety Net</w:t>
      </w:r>
    </w:p>
    <w:p>
      <w:r>
        <w:t>v0.5 — pseudokod RDE</w:t>
      </w:r>
    </w:p>
    <w:p>
      <w:r>
        <w:t>v0.6 — konsultacje z ekspertami</w:t>
      </w:r>
    </w:p>
    <w:p>
      <w:r>
        <w:t>v0.7 — testy AXV sandbox</w:t>
      </w:r>
    </w:p>
    <w:p>
      <w:r>
        <w:t>v0.8 — UI/UX integracji</w:t>
      </w:r>
    </w:p>
    <w:p>
      <w:r>
        <w:t>v0.9 — model NGO</w:t>
      </w:r>
    </w:p>
    <w:p>
      <w:r>
        <w:t>v1.0 — pełny system + whitepaper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