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F7583" w14:textId="23D80A07" w:rsidR="00DE4825" w:rsidRDefault="0095608A" w:rsidP="00FD6689">
      <w:pPr>
        <w:pStyle w:val="Heading1"/>
        <w:rPr>
          <w:lang w:val="es-CO"/>
        </w:rPr>
      </w:pPr>
      <w:r w:rsidRPr="0095608A">
        <w:rPr>
          <w:lang w:val="es-CO"/>
        </w:rPr>
        <w:t>Practica 3: Mensajería de baja latencia p</w:t>
      </w:r>
      <w:r>
        <w:rPr>
          <w:lang w:val="es-CO"/>
        </w:rPr>
        <w:t>arte II</w:t>
      </w:r>
    </w:p>
    <w:p w14:paraId="7FDF86AD" w14:textId="32058037" w:rsidR="0095608A" w:rsidRDefault="0095608A">
      <w:pPr>
        <w:rPr>
          <w:lang w:val="es-CO"/>
        </w:rPr>
      </w:pPr>
    </w:p>
    <w:p w14:paraId="1814975F" w14:textId="382310D7" w:rsidR="0095608A" w:rsidRDefault="00AF178E" w:rsidP="00FD6689">
      <w:pPr>
        <w:pStyle w:val="Heading2"/>
        <w:rPr>
          <w:lang w:val="es-CO"/>
        </w:rPr>
      </w:pPr>
      <w:r>
        <w:rPr>
          <w:lang w:val="es-CO"/>
        </w:rPr>
        <w:t>Medición</w:t>
      </w:r>
      <w:r w:rsidR="0095608A">
        <w:rPr>
          <w:lang w:val="es-CO"/>
        </w:rPr>
        <w:t xml:space="preserve"> de latencias</w:t>
      </w:r>
    </w:p>
    <w:p w14:paraId="06D37B66" w14:textId="7A31B6FE" w:rsidR="00B520A9" w:rsidRDefault="00B520A9">
      <w:pPr>
        <w:rPr>
          <w:lang w:val="es-CO"/>
        </w:rPr>
      </w:pPr>
    </w:p>
    <w:p w14:paraId="60461E4A" w14:textId="0D7D31E4" w:rsidR="00B520A9" w:rsidRDefault="008235E9">
      <w:pPr>
        <w:rPr>
          <w:lang w:val="es-CO"/>
        </w:rPr>
      </w:pPr>
      <w:r>
        <w:rPr>
          <w:lang w:val="es-CO"/>
        </w:rPr>
        <w:t xml:space="preserve">Se crea el publicador y el subscriptor en aplicaciones diferentes y se utiliza </w:t>
      </w:r>
      <w:proofErr w:type="spellStart"/>
      <w:r>
        <w:rPr>
          <w:lang w:val="es-CO"/>
        </w:rPr>
        <w:t>roundtrip</w:t>
      </w:r>
      <w:proofErr w:type="spellEnd"/>
      <w:r>
        <w:rPr>
          <w:lang w:val="es-CO"/>
        </w:rPr>
        <w:t xml:space="preserve"> para hacer la medición de latencias y latencias acumuladas. A continuación, obtenemos el siguiente resultado:</w:t>
      </w:r>
    </w:p>
    <w:p w14:paraId="5E2FAE8A" w14:textId="6647CB4F" w:rsidR="00B520A9" w:rsidRDefault="00B520A9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1275"/>
      </w:tblGrid>
      <w:tr w:rsidR="00B520A9" w14:paraId="41928730" w14:textId="38682C97" w:rsidTr="00B520A9">
        <w:tc>
          <w:tcPr>
            <w:tcW w:w="1413" w:type="dxa"/>
          </w:tcPr>
          <w:p w14:paraId="768117FB" w14:textId="4D44A5BF" w:rsidR="00B520A9" w:rsidRDefault="00B520A9">
            <w:pPr>
              <w:rPr>
                <w:lang w:val="es-CO"/>
              </w:rPr>
            </w:pPr>
            <w:r>
              <w:rPr>
                <w:lang w:val="es-CO"/>
              </w:rPr>
              <w:t>Protocolo</w:t>
            </w:r>
          </w:p>
        </w:tc>
        <w:tc>
          <w:tcPr>
            <w:tcW w:w="1559" w:type="dxa"/>
          </w:tcPr>
          <w:p w14:paraId="5181EC3F" w14:textId="640AA359" w:rsidR="00B520A9" w:rsidRDefault="00B520A9">
            <w:pPr>
              <w:rPr>
                <w:lang w:val="es-CO"/>
              </w:rPr>
            </w:pPr>
            <w:r>
              <w:rPr>
                <w:lang w:val="es-CO"/>
              </w:rPr>
              <w:t>Media de latencia (ms)</w:t>
            </w:r>
          </w:p>
        </w:tc>
        <w:tc>
          <w:tcPr>
            <w:tcW w:w="1418" w:type="dxa"/>
          </w:tcPr>
          <w:p w14:paraId="005114AB" w14:textId="424C284B" w:rsidR="00B520A9" w:rsidRDefault="00B520A9">
            <w:pPr>
              <w:rPr>
                <w:lang w:val="es-CO"/>
              </w:rPr>
            </w:pPr>
            <w:r>
              <w:rPr>
                <w:lang w:val="es-CO"/>
              </w:rPr>
              <w:t xml:space="preserve">Ratio </w:t>
            </w:r>
            <w:r w:rsidR="00CD6E3A">
              <w:rPr>
                <w:lang w:val="es-CO"/>
              </w:rPr>
              <w:t>envío</w:t>
            </w:r>
            <w:r>
              <w:rPr>
                <w:lang w:val="es-CO"/>
              </w:rPr>
              <w:t xml:space="preserve"> por se</w:t>
            </w:r>
            <w:r w:rsidR="00CD6E3A">
              <w:rPr>
                <w:lang w:val="es-CO"/>
              </w:rPr>
              <w:t>g</w:t>
            </w:r>
            <w:r>
              <w:rPr>
                <w:lang w:val="es-CO"/>
              </w:rPr>
              <w:t>undo</w:t>
            </w:r>
          </w:p>
        </w:tc>
        <w:tc>
          <w:tcPr>
            <w:tcW w:w="1275" w:type="dxa"/>
          </w:tcPr>
          <w:p w14:paraId="0F838010" w14:textId="13725341" w:rsidR="00B520A9" w:rsidRDefault="00B520A9">
            <w:pPr>
              <w:rPr>
                <w:lang w:val="es-CO"/>
              </w:rPr>
            </w:pPr>
            <w:r>
              <w:rPr>
                <w:lang w:val="es-CO"/>
              </w:rPr>
              <w:t>Numero de mensajes</w:t>
            </w:r>
          </w:p>
        </w:tc>
      </w:tr>
      <w:tr w:rsidR="00B520A9" w14:paraId="592C5061" w14:textId="42D4AC2C" w:rsidTr="00C36AA0">
        <w:tc>
          <w:tcPr>
            <w:tcW w:w="1413" w:type="dxa"/>
            <w:shd w:val="clear" w:color="auto" w:fill="D9E2F3" w:themeFill="accent1" w:themeFillTint="33"/>
          </w:tcPr>
          <w:p w14:paraId="03219244" w14:textId="41662F21" w:rsidR="00B520A9" w:rsidRDefault="00B520A9">
            <w:pPr>
              <w:rPr>
                <w:lang w:val="es-CO"/>
              </w:rPr>
            </w:pPr>
            <w:r>
              <w:rPr>
                <w:lang w:val="es-CO"/>
              </w:rPr>
              <w:t>IPC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9F4E710" w14:textId="061BD7C2" w:rsidR="00B520A9" w:rsidRDefault="00C824D6" w:rsidP="00B520A9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</w:t>
            </w:r>
            <w:r w:rsidR="00AF178E" w:rsidRPr="00AF178E">
              <w:rPr>
                <w:lang w:val="es-CO"/>
              </w:rPr>
              <w:t>.5</w:t>
            </w:r>
            <w:r>
              <w:rPr>
                <w:lang w:val="es-CO"/>
              </w:rPr>
              <w:t>1</w:t>
            </w:r>
            <w:r w:rsidR="00AF178E" w:rsidRPr="00AF178E">
              <w:rPr>
                <w:lang w:val="es-CO"/>
              </w:rPr>
              <w:t>6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035118AD" w14:textId="3E058C84" w:rsidR="00B520A9" w:rsidRDefault="00765EFE" w:rsidP="00B520A9">
            <w:pPr>
              <w:jc w:val="right"/>
              <w:rPr>
                <w:lang w:val="es-CO"/>
              </w:rPr>
            </w:pPr>
            <w:r w:rsidRPr="00765EFE">
              <w:rPr>
                <w:lang w:val="es-CO"/>
              </w:rPr>
              <w:t>263.45</w:t>
            </w:r>
          </w:p>
        </w:tc>
        <w:tc>
          <w:tcPr>
            <w:tcW w:w="1275" w:type="dxa"/>
            <w:shd w:val="clear" w:color="auto" w:fill="D9E2F3" w:themeFill="accent1" w:themeFillTint="33"/>
          </w:tcPr>
          <w:p w14:paraId="73DDDCF6" w14:textId="1747AF8C" w:rsidR="00B520A9" w:rsidRDefault="00B520A9" w:rsidP="00B520A9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</w:tr>
      <w:tr w:rsidR="00B520A9" w14:paraId="5B8813D5" w14:textId="2172C66D" w:rsidTr="00C36AA0">
        <w:tc>
          <w:tcPr>
            <w:tcW w:w="1413" w:type="dxa"/>
            <w:shd w:val="clear" w:color="auto" w:fill="D9E2F3" w:themeFill="accent1" w:themeFillTint="33"/>
          </w:tcPr>
          <w:p w14:paraId="44D7CECE" w14:textId="79EA14C2" w:rsidR="00B520A9" w:rsidRDefault="00B520A9">
            <w:pPr>
              <w:rPr>
                <w:lang w:val="es-CO"/>
              </w:rPr>
            </w:pPr>
            <w:r>
              <w:rPr>
                <w:lang w:val="es-CO"/>
              </w:rPr>
              <w:t>IPC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26259412" w14:textId="291F00DA" w:rsidR="00B520A9" w:rsidRDefault="00AF178E" w:rsidP="00B520A9">
            <w:pPr>
              <w:jc w:val="right"/>
              <w:rPr>
                <w:lang w:val="es-CO"/>
              </w:rPr>
            </w:pPr>
            <w:r w:rsidRPr="00AF178E">
              <w:rPr>
                <w:lang w:val="es-CO"/>
              </w:rPr>
              <w:t>1.0</w:t>
            </w:r>
            <w:r w:rsidR="00C824D6">
              <w:rPr>
                <w:lang w:val="es-CO"/>
              </w:rPr>
              <w:t>47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0AAE4B36" w14:textId="1752541C" w:rsidR="00B520A9" w:rsidRDefault="00060CB6" w:rsidP="00B520A9">
            <w:pPr>
              <w:jc w:val="right"/>
              <w:rPr>
                <w:lang w:val="es-CO"/>
              </w:rPr>
            </w:pPr>
            <w:r w:rsidRPr="00060CB6">
              <w:rPr>
                <w:lang w:val="es-CO"/>
              </w:rPr>
              <w:t>8374.95</w:t>
            </w:r>
          </w:p>
        </w:tc>
        <w:tc>
          <w:tcPr>
            <w:tcW w:w="1275" w:type="dxa"/>
            <w:shd w:val="clear" w:color="auto" w:fill="D9E2F3" w:themeFill="accent1" w:themeFillTint="33"/>
          </w:tcPr>
          <w:p w14:paraId="4B32FD38" w14:textId="0975BBCE" w:rsidR="00B520A9" w:rsidRDefault="00B520A9" w:rsidP="00B520A9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10k</w:t>
            </w:r>
          </w:p>
        </w:tc>
      </w:tr>
      <w:tr w:rsidR="00B520A9" w14:paraId="0FC5FBD9" w14:textId="7E291AF7" w:rsidTr="00C36AA0">
        <w:tc>
          <w:tcPr>
            <w:tcW w:w="1413" w:type="dxa"/>
            <w:shd w:val="clear" w:color="auto" w:fill="D9E2F3" w:themeFill="accent1" w:themeFillTint="33"/>
          </w:tcPr>
          <w:p w14:paraId="40C99EDB" w14:textId="242B5DF3" w:rsidR="00B520A9" w:rsidRDefault="00B520A9">
            <w:pPr>
              <w:rPr>
                <w:lang w:val="es-CO"/>
              </w:rPr>
            </w:pPr>
            <w:r>
              <w:rPr>
                <w:lang w:val="es-CO"/>
              </w:rPr>
              <w:t>IPC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11E007E3" w14:textId="70488683" w:rsidR="00B520A9" w:rsidRDefault="00AF178E" w:rsidP="00B520A9">
            <w:pPr>
              <w:jc w:val="right"/>
              <w:rPr>
                <w:lang w:val="es-CO"/>
              </w:rPr>
            </w:pPr>
            <w:r w:rsidRPr="00AF178E">
              <w:rPr>
                <w:lang w:val="es-CO"/>
              </w:rPr>
              <w:t>0.</w:t>
            </w:r>
            <w:r w:rsidR="00C824D6">
              <w:rPr>
                <w:lang w:val="es-CO"/>
              </w:rPr>
              <w:t>199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A9B3826" w14:textId="6EF01120" w:rsidR="00B520A9" w:rsidRDefault="00060CB6" w:rsidP="00B520A9">
            <w:pPr>
              <w:jc w:val="right"/>
              <w:rPr>
                <w:lang w:val="es-CO"/>
              </w:rPr>
            </w:pPr>
            <w:r w:rsidRPr="00060CB6">
              <w:rPr>
                <w:lang w:val="es-CO"/>
              </w:rPr>
              <w:t>455794.06</w:t>
            </w:r>
          </w:p>
        </w:tc>
        <w:tc>
          <w:tcPr>
            <w:tcW w:w="1275" w:type="dxa"/>
            <w:shd w:val="clear" w:color="auto" w:fill="D9E2F3" w:themeFill="accent1" w:themeFillTint="33"/>
          </w:tcPr>
          <w:p w14:paraId="09FC7CD4" w14:textId="79C1BEE1" w:rsidR="00B520A9" w:rsidRDefault="00B520A9" w:rsidP="00B520A9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100k</w:t>
            </w:r>
          </w:p>
        </w:tc>
      </w:tr>
      <w:tr w:rsidR="00B520A9" w14:paraId="3B8A4797" w14:textId="364D97AD" w:rsidTr="00C36AA0">
        <w:tc>
          <w:tcPr>
            <w:tcW w:w="1413" w:type="dxa"/>
            <w:shd w:val="clear" w:color="auto" w:fill="E2EFD9" w:themeFill="accent6" w:themeFillTint="33"/>
          </w:tcPr>
          <w:p w14:paraId="395B78D7" w14:textId="2BFC2BEC" w:rsidR="00B520A9" w:rsidRDefault="00B520A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Unicast</w:t>
            </w:r>
            <w:proofErr w:type="spellEnd"/>
          </w:p>
        </w:tc>
        <w:tc>
          <w:tcPr>
            <w:tcW w:w="1559" w:type="dxa"/>
            <w:shd w:val="clear" w:color="auto" w:fill="E2EFD9" w:themeFill="accent6" w:themeFillTint="33"/>
          </w:tcPr>
          <w:p w14:paraId="0537B51D" w14:textId="60D10475" w:rsidR="00B520A9" w:rsidRDefault="00C824D6" w:rsidP="00B520A9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4.981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452BC751" w14:textId="078D0380" w:rsidR="00B520A9" w:rsidRDefault="009B3A66" w:rsidP="00B520A9">
            <w:pPr>
              <w:jc w:val="right"/>
              <w:rPr>
                <w:lang w:val="es-CO"/>
              </w:rPr>
            </w:pPr>
            <w:r w:rsidRPr="009B3A66">
              <w:rPr>
                <w:lang w:val="es-CO"/>
              </w:rPr>
              <w:t>150.82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59C08656" w14:textId="47EF806D" w:rsidR="00B520A9" w:rsidRDefault="00C824D6" w:rsidP="00B520A9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</w:tr>
      <w:tr w:rsidR="00B520A9" w14:paraId="2E2517E5" w14:textId="49EE7DD0" w:rsidTr="00C36AA0">
        <w:tc>
          <w:tcPr>
            <w:tcW w:w="1413" w:type="dxa"/>
            <w:shd w:val="clear" w:color="auto" w:fill="E2EFD9" w:themeFill="accent6" w:themeFillTint="33"/>
          </w:tcPr>
          <w:p w14:paraId="42E94B8A" w14:textId="1F8F8BC5" w:rsidR="00B520A9" w:rsidRDefault="00B520A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Unicast</w:t>
            </w:r>
            <w:proofErr w:type="spellEnd"/>
          </w:p>
        </w:tc>
        <w:tc>
          <w:tcPr>
            <w:tcW w:w="1559" w:type="dxa"/>
            <w:shd w:val="clear" w:color="auto" w:fill="E2EFD9" w:themeFill="accent6" w:themeFillTint="33"/>
          </w:tcPr>
          <w:p w14:paraId="0B03C541" w14:textId="24D1E247" w:rsidR="00B520A9" w:rsidRDefault="008C2860" w:rsidP="00B520A9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1.</w:t>
            </w:r>
            <w:r w:rsidR="00C824D6">
              <w:rPr>
                <w:lang w:val="es-CO"/>
              </w:rPr>
              <w:t>243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2AB2F31B" w14:textId="0E6433C8" w:rsidR="00B520A9" w:rsidRDefault="009B3A66" w:rsidP="00B520A9">
            <w:pPr>
              <w:jc w:val="right"/>
              <w:rPr>
                <w:lang w:val="es-CO"/>
              </w:rPr>
            </w:pPr>
            <w:r w:rsidRPr="009B3A66">
              <w:rPr>
                <w:lang w:val="es-CO"/>
              </w:rPr>
              <w:t>8062.25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5D5D75F8" w14:textId="7D4B31B6" w:rsidR="00B520A9" w:rsidRDefault="00C824D6" w:rsidP="00B520A9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10K</w:t>
            </w:r>
          </w:p>
        </w:tc>
      </w:tr>
      <w:tr w:rsidR="00B520A9" w14:paraId="4CCDF553" w14:textId="65838A07" w:rsidTr="00C36AA0">
        <w:tc>
          <w:tcPr>
            <w:tcW w:w="1413" w:type="dxa"/>
            <w:shd w:val="clear" w:color="auto" w:fill="E2EFD9" w:themeFill="accent6" w:themeFillTint="33"/>
          </w:tcPr>
          <w:p w14:paraId="0D5B8303" w14:textId="60F1D32A" w:rsidR="00B520A9" w:rsidRDefault="00B520A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Unicast</w:t>
            </w:r>
            <w:proofErr w:type="spellEnd"/>
          </w:p>
        </w:tc>
        <w:tc>
          <w:tcPr>
            <w:tcW w:w="1559" w:type="dxa"/>
            <w:shd w:val="clear" w:color="auto" w:fill="E2EFD9" w:themeFill="accent6" w:themeFillTint="33"/>
          </w:tcPr>
          <w:p w14:paraId="0ABDCD9B" w14:textId="4FFFB688" w:rsidR="00B520A9" w:rsidRDefault="00AF178E" w:rsidP="00B520A9">
            <w:pPr>
              <w:jc w:val="right"/>
              <w:rPr>
                <w:lang w:val="es-CO"/>
              </w:rPr>
            </w:pPr>
            <w:r w:rsidRPr="00AF178E">
              <w:rPr>
                <w:lang w:val="es-CO"/>
              </w:rPr>
              <w:t>0.2</w:t>
            </w:r>
            <w:r w:rsidR="00C824D6">
              <w:rPr>
                <w:lang w:val="es-CO"/>
              </w:rPr>
              <w:t>29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2E8559AC" w14:textId="471F6ADB" w:rsidR="00B520A9" w:rsidRDefault="009B3A66" w:rsidP="00B520A9">
            <w:pPr>
              <w:jc w:val="right"/>
              <w:rPr>
                <w:lang w:val="es-CO"/>
              </w:rPr>
            </w:pPr>
            <w:r w:rsidRPr="009B3A66">
              <w:rPr>
                <w:lang w:val="es-CO"/>
              </w:rPr>
              <w:t>429466.55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02530DB5" w14:textId="111136F6" w:rsidR="00B520A9" w:rsidRDefault="00AF178E" w:rsidP="00B520A9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100k</w:t>
            </w:r>
          </w:p>
        </w:tc>
      </w:tr>
      <w:tr w:rsidR="00B520A9" w14:paraId="4E0DFC76" w14:textId="47418017" w:rsidTr="00C36AA0">
        <w:tc>
          <w:tcPr>
            <w:tcW w:w="1413" w:type="dxa"/>
            <w:shd w:val="clear" w:color="auto" w:fill="FFF2CC" w:themeFill="accent4" w:themeFillTint="33"/>
          </w:tcPr>
          <w:p w14:paraId="144942D4" w14:textId="4C412A40" w:rsidR="00B520A9" w:rsidRDefault="00B520A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Multicast</w:t>
            </w:r>
            <w:proofErr w:type="spellEnd"/>
          </w:p>
        </w:tc>
        <w:tc>
          <w:tcPr>
            <w:tcW w:w="1559" w:type="dxa"/>
            <w:shd w:val="clear" w:color="auto" w:fill="FFF2CC" w:themeFill="accent4" w:themeFillTint="33"/>
          </w:tcPr>
          <w:p w14:paraId="5995720A" w14:textId="2D71FD2A" w:rsidR="00B520A9" w:rsidRDefault="00B66FF5" w:rsidP="00B520A9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4.962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5544DE38" w14:textId="4172AAD5" w:rsidR="00B520A9" w:rsidRDefault="009B3A66" w:rsidP="00B520A9">
            <w:pPr>
              <w:jc w:val="right"/>
              <w:rPr>
                <w:lang w:val="es-CO"/>
              </w:rPr>
            </w:pPr>
            <w:r w:rsidRPr="009B3A66">
              <w:rPr>
                <w:lang w:val="es-CO"/>
              </w:rPr>
              <w:t>165.83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36DBDA0F" w14:textId="24530349" w:rsidR="00B520A9" w:rsidRDefault="00B66FF5" w:rsidP="00B520A9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</w:tr>
      <w:tr w:rsidR="00B520A9" w14:paraId="2BE105B8" w14:textId="77777777" w:rsidTr="00C36AA0">
        <w:tc>
          <w:tcPr>
            <w:tcW w:w="1413" w:type="dxa"/>
            <w:shd w:val="clear" w:color="auto" w:fill="FFF2CC" w:themeFill="accent4" w:themeFillTint="33"/>
          </w:tcPr>
          <w:p w14:paraId="63600765" w14:textId="6184BFBE" w:rsidR="00B520A9" w:rsidRDefault="00B520A9" w:rsidP="00B520A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Multicast</w:t>
            </w:r>
            <w:proofErr w:type="spellEnd"/>
          </w:p>
        </w:tc>
        <w:tc>
          <w:tcPr>
            <w:tcW w:w="1559" w:type="dxa"/>
            <w:shd w:val="clear" w:color="auto" w:fill="FFF2CC" w:themeFill="accent4" w:themeFillTint="33"/>
          </w:tcPr>
          <w:p w14:paraId="7608892D" w14:textId="2FA14B9C" w:rsidR="00B520A9" w:rsidRDefault="00B66FF5" w:rsidP="00B520A9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1.170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40837B3C" w14:textId="66CDC0FF" w:rsidR="00B520A9" w:rsidRDefault="009B3A66" w:rsidP="00B520A9">
            <w:pPr>
              <w:jc w:val="right"/>
              <w:rPr>
                <w:lang w:val="es-CO"/>
              </w:rPr>
            </w:pPr>
            <w:r w:rsidRPr="009B3A66">
              <w:rPr>
                <w:lang w:val="es-CO"/>
              </w:rPr>
              <w:t>6848.92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0F1B7841" w14:textId="1F2DE9D0" w:rsidR="00B520A9" w:rsidRDefault="00B66FF5" w:rsidP="00B520A9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10K</w:t>
            </w:r>
          </w:p>
        </w:tc>
      </w:tr>
      <w:tr w:rsidR="00B520A9" w14:paraId="596B159F" w14:textId="2B494AEA" w:rsidTr="00C36AA0">
        <w:tc>
          <w:tcPr>
            <w:tcW w:w="1413" w:type="dxa"/>
            <w:shd w:val="clear" w:color="auto" w:fill="FFF2CC" w:themeFill="accent4" w:themeFillTint="33"/>
          </w:tcPr>
          <w:p w14:paraId="099B06D9" w14:textId="3CBCD7CE" w:rsidR="00B520A9" w:rsidRDefault="00B520A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Multicast</w:t>
            </w:r>
            <w:proofErr w:type="spellEnd"/>
          </w:p>
        </w:tc>
        <w:tc>
          <w:tcPr>
            <w:tcW w:w="1559" w:type="dxa"/>
            <w:shd w:val="clear" w:color="auto" w:fill="FFF2CC" w:themeFill="accent4" w:themeFillTint="33"/>
          </w:tcPr>
          <w:p w14:paraId="1B626D5B" w14:textId="598039A0" w:rsidR="00B520A9" w:rsidRDefault="00B66FF5" w:rsidP="00B520A9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0.244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2A09EA37" w14:textId="0A6BAFC9" w:rsidR="00B520A9" w:rsidRDefault="009B3A66" w:rsidP="00B520A9">
            <w:pPr>
              <w:jc w:val="right"/>
              <w:rPr>
                <w:lang w:val="es-CO"/>
              </w:rPr>
            </w:pPr>
            <w:r w:rsidRPr="009B3A66">
              <w:rPr>
                <w:lang w:val="es-CO"/>
              </w:rPr>
              <w:t>419378.78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35CBC834" w14:textId="39144CA9" w:rsidR="00B520A9" w:rsidRDefault="00B66FF5" w:rsidP="00B520A9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100K</w:t>
            </w:r>
          </w:p>
        </w:tc>
      </w:tr>
    </w:tbl>
    <w:p w14:paraId="6B4F741B" w14:textId="16EF9D5F" w:rsidR="00B520A9" w:rsidRDefault="00B520A9">
      <w:pPr>
        <w:rPr>
          <w:lang w:val="es-CO"/>
        </w:rPr>
      </w:pPr>
    </w:p>
    <w:p w14:paraId="0174F911" w14:textId="13EEAA5F" w:rsidR="008235E9" w:rsidRPr="0095608A" w:rsidRDefault="008235E9">
      <w:pPr>
        <w:rPr>
          <w:lang w:val="es-CO"/>
        </w:rPr>
      </w:pPr>
      <w:r>
        <w:rPr>
          <w:lang w:val="es-CO"/>
        </w:rPr>
        <w:t xml:space="preserve">Según los datos tomados se puede evidenciar que tanto </w:t>
      </w:r>
      <w:proofErr w:type="spellStart"/>
      <w:r>
        <w:rPr>
          <w:lang w:val="es-CO"/>
        </w:rPr>
        <w:t>ipc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unicast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multicast</w:t>
      </w:r>
      <w:proofErr w:type="spellEnd"/>
      <w:r>
        <w:rPr>
          <w:lang w:val="es-CO"/>
        </w:rPr>
        <w:t xml:space="preserve"> tienen una latencia muy similar por cada limite de mensajes enviado. Excepto por </w:t>
      </w:r>
      <w:proofErr w:type="spellStart"/>
      <w:r>
        <w:rPr>
          <w:lang w:val="es-CO"/>
        </w:rPr>
        <w:t>ipc</w:t>
      </w:r>
      <w:proofErr w:type="spellEnd"/>
      <w:r>
        <w:rPr>
          <w:lang w:val="es-CO"/>
        </w:rPr>
        <w:t xml:space="preserve"> con 1000 mensajes el cual tiene una diferencia de </w:t>
      </w:r>
      <w:r w:rsidR="00017208">
        <w:rPr>
          <w:lang w:val="es-CO"/>
        </w:rPr>
        <w:t>más</w:t>
      </w:r>
      <w:r>
        <w:rPr>
          <w:lang w:val="es-CO"/>
        </w:rPr>
        <w:t xml:space="preserve"> de medio </w:t>
      </w:r>
      <w:proofErr w:type="spellStart"/>
      <w:r>
        <w:rPr>
          <w:lang w:val="es-CO"/>
        </w:rPr>
        <w:t>milisegeundo</w:t>
      </w:r>
      <w:proofErr w:type="spellEnd"/>
      <w:r w:rsidR="00017208">
        <w:rPr>
          <w:lang w:val="es-CO"/>
        </w:rPr>
        <w:t xml:space="preserve">, esto quiere decir que con </w:t>
      </w:r>
      <w:r w:rsidR="00FD6689">
        <w:rPr>
          <w:lang w:val="es-CO"/>
        </w:rPr>
        <w:t>una menor ratio</w:t>
      </w:r>
      <w:r w:rsidR="00017208">
        <w:rPr>
          <w:lang w:val="es-CO"/>
        </w:rPr>
        <w:t xml:space="preserve"> de mensajes </w:t>
      </w:r>
      <w:proofErr w:type="spellStart"/>
      <w:r w:rsidR="00017208">
        <w:rPr>
          <w:lang w:val="es-CO"/>
        </w:rPr>
        <w:t>ipc</w:t>
      </w:r>
      <w:proofErr w:type="spellEnd"/>
      <w:r w:rsidR="00017208">
        <w:rPr>
          <w:lang w:val="es-CO"/>
        </w:rPr>
        <w:t xml:space="preserve"> es </w:t>
      </w:r>
      <w:r w:rsidR="00FD6689">
        <w:rPr>
          <w:lang w:val="es-CO"/>
        </w:rPr>
        <w:t>más</w:t>
      </w:r>
      <w:r w:rsidR="00017208">
        <w:rPr>
          <w:lang w:val="es-CO"/>
        </w:rPr>
        <w:t xml:space="preserve"> </w:t>
      </w:r>
      <w:bookmarkStart w:id="0" w:name="_GoBack"/>
      <w:bookmarkEnd w:id="0"/>
      <w:r w:rsidR="00017208">
        <w:rPr>
          <w:lang w:val="es-CO"/>
        </w:rPr>
        <w:t>eficiente para utilizar</w:t>
      </w:r>
    </w:p>
    <w:sectPr w:rsidR="008235E9" w:rsidRPr="00956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FD"/>
    <w:rsid w:val="00017208"/>
    <w:rsid w:val="00060CB6"/>
    <w:rsid w:val="004257F6"/>
    <w:rsid w:val="00765EFE"/>
    <w:rsid w:val="008235E9"/>
    <w:rsid w:val="008C2860"/>
    <w:rsid w:val="0095608A"/>
    <w:rsid w:val="009B3A66"/>
    <w:rsid w:val="00AA0CFD"/>
    <w:rsid w:val="00AB5B69"/>
    <w:rsid w:val="00AF178E"/>
    <w:rsid w:val="00B520A9"/>
    <w:rsid w:val="00B66FF5"/>
    <w:rsid w:val="00C36AA0"/>
    <w:rsid w:val="00C824D6"/>
    <w:rsid w:val="00CD6E3A"/>
    <w:rsid w:val="00CE1CCB"/>
    <w:rsid w:val="00FD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F2D5"/>
  <w15:chartTrackingRefBased/>
  <w15:docId w15:val="{B33897EB-76C5-4218-940F-FF9B1433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6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6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11</cp:revision>
  <dcterms:created xsi:type="dcterms:W3CDTF">2019-11-26T15:09:00Z</dcterms:created>
  <dcterms:modified xsi:type="dcterms:W3CDTF">2019-11-30T14:38:00Z</dcterms:modified>
</cp:coreProperties>
</file>