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40BE" w14:textId="58ECCEF5" w:rsidR="00FF382B" w:rsidRDefault="0052303B">
      <w:r w:rsidRPr="0052303B">
        <w:drawing>
          <wp:inline distT="0" distB="0" distL="0" distR="0" wp14:anchorId="0C7223DC" wp14:editId="543C049F">
            <wp:extent cx="5274310" cy="4605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802C" w14:textId="6EF22159" w:rsidR="0052303B" w:rsidRPr="0052303B" w:rsidRDefault="0052303B">
      <w:pPr>
        <w:rPr>
          <w:rFonts w:hint="eastAsia"/>
          <w:sz w:val="24"/>
          <w:szCs w:val="28"/>
        </w:rPr>
      </w:pPr>
      <w:r w:rsidRPr="0052303B">
        <w:rPr>
          <w:sz w:val="24"/>
          <w:szCs w:val="28"/>
        </w:rPr>
        <w:t>https://blog.csdn.net/weixin_42079187/article/details/80458377</w:t>
      </w:r>
    </w:p>
    <w:sectPr w:rsidR="0052303B" w:rsidRPr="0052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C485" w14:textId="77777777" w:rsidR="00706294" w:rsidRDefault="00706294" w:rsidP="0052303B">
      <w:r>
        <w:separator/>
      </w:r>
    </w:p>
  </w:endnote>
  <w:endnote w:type="continuationSeparator" w:id="0">
    <w:p w14:paraId="3ACA88CE" w14:textId="77777777" w:rsidR="00706294" w:rsidRDefault="00706294" w:rsidP="0052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BAAD2" w14:textId="77777777" w:rsidR="00706294" w:rsidRDefault="00706294" w:rsidP="0052303B">
      <w:r>
        <w:separator/>
      </w:r>
    </w:p>
  </w:footnote>
  <w:footnote w:type="continuationSeparator" w:id="0">
    <w:p w14:paraId="0B11F2DC" w14:textId="77777777" w:rsidR="00706294" w:rsidRDefault="00706294" w:rsidP="00523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92"/>
    <w:rsid w:val="0052303B"/>
    <w:rsid w:val="00706294"/>
    <w:rsid w:val="00B10692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A2CFE"/>
  <w15:chartTrackingRefBased/>
  <w15:docId w15:val="{C1F1E61A-B87C-4899-89CF-523516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2021-03-12T07:42:00Z</dcterms:created>
  <dcterms:modified xsi:type="dcterms:W3CDTF">2021-03-12T07:43:00Z</dcterms:modified>
</cp:coreProperties>
</file>