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0D9C" w14:textId="00FFCD2A" w:rsidR="00357E28" w:rsidRDefault="00CE28CF">
      <w:pPr>
        <w:rPr>
          <w:rFonts w:hint="eastAsia"/>
        </w:rPr>
      </w:pPr>
      <w:r>
        <w:rPr>
          <w:rFonts w:hint="eastAsia"/>
        </w:rPr>
        <w:t>达到同样的正确率，层数的增长带来的效益是单元数增长指数倍才能带来的</w:t>
      </w:r>
    </w:p>
    <w:sectPr w:rsidR="0035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86"/>
    <w:rsid w:val="000C4D86"/>
    <w:rsid w:val="00357E28"/>
    <w:rsid w:val="00C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9A2F"/>
  <w15:chartTrackingRefBased/>
  <w15:docId w15:val="{BE9D226E-8D21-4A30-99AB-2CE7947D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2021-01-09T12:47:00Z</dcterms:created>
  <dcterms:modified xsi:type="dcterms:W3CDTF">2021-01-09T12:48:00Z</dcterms:modified>
</cp:coreProperties>
</file>