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ESOP Plan (Stock Option Plan)</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Plan Overview</w:t>
      </w:r>
    </w:p>
    <w:p>
      <w:pPr>
        <w:spacing w:after="60" w:before="60"/>
      </w:pPr>
      <w:r>
        <w:rPr>
          <w:rFonts w:ascii="Arial" w:cs="Arial" w:eastAsia="Arial" w:hAnsi="Arial"/>
          <w:sz w:val="22"/>
          <w:szCs w:val="22"/>
        </w:rPr>
        <w:t xml:space="preserve">This ESOP Plan (the "Plan") is established by BDA Company International (شركة بدع الدولية) (the "Company") to attract, retain, and incentivize employees, officers, directors, and consultants ("Eligible Persons") by providing equity-linked participation in the growth of the Company.</w:t>
      </w:r>
    </w:p>
    <w:p>
      <w:pPr>
        <w:pStyle w:val="ListParagraph"/>
        <w:numPr>
          <w:ilvl w:val="0"/>
          <w:numId w:val="2"/>
        </w:numPr>
        <w:spacing w:after="40" w:before="40"/>
      </w:pPr>
      <w:r>
        <w:rPr>
          <w:rFonts w:ascii="Arial" w:cs="Arial" w:eastAsia="Arial" w:hAnsi="Arial"/>
          <w:sz w:val="22"/>
          <w:szCs w:val="22"/>
        </w:rPr>
        <w:t xml:space="preserve">Total ESOP pool: 10% of the Company fully diluted capitalization</w:t>
      </w:r>
    </w:p>
    <w:p>
      <w:pPr>
        <w:pStyle w:val="ListParagraph"/>
        <w:numPr>
          <w:ilvl w:val="0"/>
          <w:numId w:val="2"/>
        </w:numPr>
        <w:spacing w:after="40" w:before="40"/>
      </w:pPr>
      <w:r>
        <w:rPr>
          <w:rFonts w:ascii="Arial" w:cs="Arial" w:eastAsia="Arial" w:hAnsi="Arial"/>
          <w:sz w:val="22"/>
          <w:szCs w:val="22"/>
        </w:rPr>
        <w:t xml:space="preserve">Award type: Phantom Share Units ("PSUs") or actual share awards under Saudi LLC law, as determined by the Board</w:t>
      </w:r>
    </w:p>
    <w:p>
      <w:pPr>
        <w:pStyle w:val="ListParagraph"/>
        <w:numPr>
          <w:ilvl w:val="0"/>
          <w:numId w:val="2"/>
        </w:numPr>
        <w:spacing w:after="40" w:before="40"/>
      </w:pPr>
      <w:r>
        <w:rPr>
          <w:rFonts w:ascii="Arial" w:cs="Arial" w:eastAsia="Arial" w:hAnsi="Arial"/>
          <w:sz w:val="22"/>
          <w:szCs w:val="22"/>
        </w:rPr>
        <w:t xml:space="preserve">Board administration: The Plan is administered by the Board of Directors (the "Administrator")</w:t>
      </w:r>
    </w:p>
    <w:p>
      <w:pPr>
        <w:pStyle w:val="ListParagraph"/>
        <w:numPr>
          <w:ilvl w:val="0"/>
          <w:numId w:val="2"/>
        </w:numPr>
        <w:spacing w:after="40" w:before="40"/>
      </w:pPr>
      <w:r>
        <w:rPr>
          <w:rFonts w:ascii="Arial" w:cs="Arial" w:eastAsia="Arial" w:hAnsi="Arial"/>
          <w:sz w:val="22"/>
          <w:szCs w:val="22"/>
        </w:rPr>
        <w:t xml:space="preserve">Effective Date: [PLAN_EFFECTIVE_DATE]</w:t>
      </w:r>
    </w:p>
    <w:p>
      <w:pPr>
        <w:spacing w:after="60" w:before="60"/>
      </w:pPr>
      <w:r>
        <w:rPr>
          <w:rFonts w:ascii="Arial" w:cs="Arial" w:eastAsia="Arial" w:hAnsi="Arial"/>
          <w:sz w:val="22"/>
          <w:szCs w:val="22"/>
        </w:rPr>
        <w:t xml:space="preserve">Note on Saudi Law: Under Saudi LLC regulations, equity-based awards may be structured as phantom shares (economic rights without voting rights) or actual LLC share transfers subject to MISA approval. The Company shall structure each award in the most tax-efficient and legally compliant manner. All awards require written grant letters executed by the Company and the grantee.</w:t>
      </w:r>
    </w:p>
    <w:p>
      <w:r>
        <w:br w:type="page"/>
      </w:r>
    </w:p>
    <w:p>
      <w:pPr>
        <w:pStyle w:val="Heading1"/>
        <w:spacing w:after="120" w:before="300"/>
      </w:pPr>
      <w:r>
        <w:rPr>
          <w:rFonts w:ascii="Arial" w:cs="Arial" w:eastAsia="Arial" w:hAnsi="Arial"/>
          <w:b/>
          <w:bCs/>
          <w:color w:val="2D6E8A"/>
          <w:sz w:val="28"/>
          <w:szCs w:val="28"/>
        </w:rPr>
        <w:t xml:space="preserve">2. Eligibility</w:t>
      </w:r>
    </w:p>
    <w:p>
      <w:pPr>
        <w:spacing w:after="60" w:before="60"/>
      </w:pPr>
      <w:r>
        <w:rPr>
          <w:rFonts w:ascii="Arial" w:cs="Arial" w:eastAsia="Arial" w:hAnsi="Arial"/>
          <w:sz w:val="22"/>
          <w:szCs w:val="22"/>
        </w:rPr>
        <w:t xml:space="preserve">Awards under this Plan may be granted to: full-time and part-time employees; officers and directors; and consultants and service providers who provide bona fide services to the Company. Eligibility is at the Administrator sole discretion. A grantee must remain an Eligible Person through each vesting date.</w:t>
      </w:r>
    </w:p>
    <w:p>
      <w:r>
        <w:br w:type="page"/>
      </w:r>
    </w:p>
    <w:p>
      <w:pPr>
        <w:pStyle w:val="Heading1"/>
        <w:spacing w:after="120" w:before="300"/>
      </w:pPr>
      <w:r>
        <w:rPr>
          <w:rFonts w:ascii="Arial" w:cs="Arial" w:eastAsia="Arial" w:hAnsi="Arial"/>
          <w:b/>
          <w:bCs/>
          <w:color w:val="2D6E8A"/>
          <w:sz w:val="28"/>
          <w:szCs w:val="28"/>
        </w:rPr>
        <w:t xml:space="preserve">3. Types of Awards</w:t>
      </w:r>
    </w:p>
    <w:p>
      <w:pPr>
        <w:pStyle w:val="Heading2"/>
        <w:spacing w:after="80" w:before="200"/>
      </w:pPr>
      <w:r>
        <w:rPr>
          <w:rFonts w:ascii="Arial" w:cs="Arial" w:eastAsia="Arial" w:hAnsi="Arial"/>
          <w:b/>
          <w:bCs/>
          <w:color w:val="0A0E12"/>
          <w:sz w:val="24"/>
          <w:szCs w:val="24"/>
        </w:rPr>
        <w:t xml:space="preserve">3.1 Phantom Share Units (PSUs)</w:t>
      </w:r>
    </w:p>
    <w:p>
      <w:pPr>
        <w:spacing w:after="60" w:before="60"/>
      </w:pPr>
      <w:r>
        <w:rPr>
          <w:rFonts w:ascii="Arial" w:cs="Arial" w:eastAsia="Arial" w:hAnsi="Arial"/>
          <w:sz w:val="22"/>
          <w:szCs w:val="22"/>
        </w:rPr>
        <w:t xml:space="preserve">PSUs are contractual rights to receive a cash payment upon a liquidity event or exercise, equal to the FMV of one ordinary share at such time less the exercise price. PSUs carry no voting rights and are not registered in the Company commercial register.</w:t>
      </w:r>
    </w:p>
    <w:p>
      <w:pPr>
        <w:pStyle w:val="Heading2"/>
        <w:spacing w:after="80" w:before="200"/>
      </w:pPr>
      <w:r>
        <w:rPr>
          <w:rFonts w:ascii="Arial" w:cs="Arial" w:eastAsia="Arial" w:hAnsi="Arial"/>
          <w:b/>
          <w:bCs/>
          <w:color w:val="0A0E12"/>
          <w:sz w:val="24"/>
          <w:szCs w:val="24"/>
        </w:rPr>
        <w:t xml:space="preserve">3.2 Actual Share Awards</w:t>
      </w:r>
    </w:p>
    <w:p>
      <w:pPr>
        <w:spacing w:after="60" w:before="60"/>
      </w:pPr>
      <w:r>
        <w:rPr>
          <w:rFonts w:ascii="Arial" w:cs="Arial" w:eastAsia="Arial" w:hAnsi="Arial"/>
          <w:sz w:val="22"/>
          <w:szCs w:val="22"/>
        </w:rPr>
        <w:t xml:space="preserve">The Board may grant actual LLC shares (or warrants convertible to shares) subject to MISA approval and notarized share transfer. Actual share awards carry pro-rata voting rights and liquidation preferences consistent with the Shareholders Agreement.</w:t>
      </w:r>
    </w:p>
    <w:p>
      <w:pPr>
        <w:pStyle w:val="Heading2"/>
        <w:spacing w:after="80" w:before="200"/>
      </w:pPr>
      <w:r>
        <w:rPr>
          <w:rFonts w:ascii="Arial" w:cs="Arial" w:eastAsia="Arial" w:hAnsi="Arial"/>
          <w:b/>
          <w:bCs/>
          <w:color w:val="0A0E12"/>
          <w:sz w:val="24"/>
          <w:szCs w:val="24"/>
        </w:rPr>
        <w:t xml:space="preserve">3.3 Election</w:t>
      </w:r>
    </w:p>
    <w:p>
      <w:pPr>
        <w:spacing w:after="60" w:before="60"/>
      </w:pPr>
      <w:r>
        <w:rPr>
          <w:rFonts w:ascii="Arial" w:cs="Arial" w:eastAsia="Arial" w:hAnsi="Arial"/>
          <w:sz w:val="22"/>
          <w:szCs w:val="22"/>
        </w:rPr>
        <w:t xml:space="preserve">At grant, the Board shall specify the award type in the grant letter (Exhibit A form).</w:t>
      </w:r>
    </w:p>
    <w:p>
      <w:r>
        <w:br w:type="page"/>
      </w:r>
    </w:p>
    <w:p>
      <w:pPr>
        <w:pStyle w:val="Heading1"/>
        <w:spacing w:after="120" w:before="300"/>
      </w:pPr>
      <w:r>
        <w:rPr>
          <w:rFonts w:ascii="Arial" w:cs="Arial" w:eastAsia="Arial" w:hAnsi="Arial"/>
          <w:b/>
          <w:bCs/>
          <w:color w:val="2D6E8A"/>
          <w:sz w:val="28"/>
          <w:szCs w:val="28"/>
        </w:rPr>
        <w:t xml:space="preserve">4. Vesting Schedule</w:t>
      </w:r>
    </w:p>
    <w:p>
      <w:pPr>
        <w:pStyle w:val="Heading2"/>
        <w:spacing w:after="80" w:before="200"/>
      </w:pPr>
      <w:r>
        <w:rPr>
          <w:rFonts w:ascii="Arial" w:cs="Arial" w:eastAsia="Arial" w:hAnsi="Arial"/>
          <w:b/>
          <w:bCs/>
          <w:color w:val="0A0E12"/>
          <w:sz w:val="24"/>
          <w:szCs w:val="24"/>
        </w:rPr>
        <w:t xml:space="preserve">4.1 Standard: 4-Year / 1-Year Cliff</w:t>
      </w:r>
    </w:p>
    <w:p>
      <w:pPr>
        <w:spacing w:after="60" w:before="60"/>
      </w:pPr>
      <w:r>
        <w:rPr>
          <w:rFonts w:ascii="Arial" w:cs="Arial" w:eastAsia="Arial" w:hAnsi="Arial"/>
          <w:sz w:val="22"/>
          <w:szCs w:val="22"/>
        </w:rPr>
        <w:t xml:space="preserve">Unless specified otherwise in the grant letter:</w:t>
      </w:r>
    </w:p>
    <w:p>
      <w:pPr>
        <w:pStyle w:val="ListParagraph"/>
        <w:numPr>
          <w:ilvl w:val="0"/>
          <w:numId w:val="2"/>
        </w:numPr>
        <w:spacing w:after="40" w:before="40"/>
      </w:pPr>
      <w:r>
        <w:rPr>
          <w:rFonts w:ascii="Arial" w:cs="Arial" w:eastAsia="Arial" w:hAnsi="Arial"/>
          <w:sz w:val="22"/>
          <w:szCs w:val="22"/>
        </w:rPr>
        <w:t xml:space="preserve">Year 1 Cliff: 25% vests on the first anniversary of the Vesting Commencement Date</w:t>
      </w:r>
    </w:p>
    <w:p>
      <w:pPr>
        <w:pStyle w:val="ListParagraph"/>
        <w:numPr>
          <w:ilvl w:val="0"/>
          <w:numId w:val="2"/>
        </w:numPr>
        <w:spacing w:after="40" w:before="40"/>
      </w:pPr>
      <w:r>
        <w:rPr>
          <w:rFonts w:ascii="Arial" w:cs="Arial" w:eastAsia="Arial" w:hAnsi="Arial"/>
          <w:sz w:val="22"/>
          <w:szCs w:val="22"/>
        </w:rPr>
        <w:t xml:space="preserve">Monthly Ratable: remaining 75% vests in equal monthly installments over the following 36 months (1/48th per month)</w:t>
      </w:r>
    </w:p>
    <w:p>
      <w:pPr>
        <w:pStyle w:val="Heading2"/>
        <w:spacing w:after="80" w:before="200"/>
      </w:pPr>
      <w:r>
        <w:rPr>
          <w:rFonts w:ascii="Arial" w:cs="Arial" w:eastAsia="Arial" w:hAnsi="Arial"/>
          <w:b/>
          <w:bCs/>
          <w:color w:val="0A0E12"/>
          <w:sz w:val="24"/>
          <w:szCs w:val="24"/>
        </w:rPr>
        <w:t xml:space="preserve">4.2 Accelerated Vesting</w:t>
      </w:r>
    </w:p>
    <w:p>
      <w:pPr>
        <w:pStyle w:val="ListParagraph"/>
        <w:numPr>
          <w:ilvl w:val="0"/>
          <w:numId w:val="2"/>
        </w:numPr>
        <w:spacing w:after="40" w:before="40"/>
      </w:pPr>
      <w:r>
        <w:rPr>
          <w:rFonts w:ascii="Arial" w:cs="Arial" w:eastAsia="Arial" w:hAnsi="Arial"/>
          <w:sz w:val="22"/>
          <w:szCs w:val="22"/>
        </w:rPr>
        <w:t xml:space="preserve">First Three (3) Hires — Single-Trigger: 100% of unvested awards vest immediately upon a Change of Control</w:t>
      </w:r>
    </w:p>
    <w:p>
      <w:pPr>
        <w:pStyle w:val="ListParagraph"/>
        <w:numPr>
          <w:ilvl w:val="0"/>
          <w:numId w:val="2"/>
        </w:numPr>
        <w:spacing w:after="40" w:before="40"/>
      </w:pPr>
      <w:r>
        <w:rPr>
          <w:rFonts w:ascii="Arial" w:cs="Arial" w:eastAsia="Arial" w:hAnsi="Arial"/>
          <w:sz w:val="22"/>
          <w:szCs w:val="22"/>
        </w:rPr>
        <w:t xml:space="preserve">All Other Grantees — Double-Trigger: 100% vests if, within twelve (12) months following a Change of Control, the grantee is terminated without Cause or resigns for Good Reason</w:t>
      </w:r>
    </w:p>
    <w:p>
      <w:pPr>
        <w:pStyle w:val="ListParagraph"/>
        <w:numPr>
          <w:ilvl w:val="0"/>
          <w:numId w:val="2"/>
        </w:numPr>
        <w:spacing w:after="40" w:before="40"/>
      </w:pPr>
      <w:r>
        <w:rPr>
          <w:rFonts w:ascii="Arial" w:cs="Arial" w:eastAsia="Arial" w:hAnsi="Arial"/>
          <w:sz w:val="22"/>
          <w:szCs w:val="22"/>
        </w:rPr>
        <w:t xml:space="preserve">Death or Permanent Disability: All unvested awards vest immediately</w:t>
      </w:r>
    </w:p>
    <w:p>
      <w:pPr>
        <w:pStyle w:val="Heading2"/>
        <w:spacing w:after="80" w:before="200"/>
      </w:pPr>
      <w:r>
        <w:rPr>
          <w:rFonts w:ascii="Arial" w:cs="Arial" w:eastAsia="Arial" w:hAnsi="Arial"/>
          <w:b/>
          <w:bCs/>
          <w:color w:val="0A0E12"/>
          <w:sz w:val="24"/>
          <w:szCs w:val="24"/>
        </w:rPr>
        <w:t xml:space="preserve">4.3 Change of Control</w:t>
      </w:r>
    </w:p>
    <w:p>
      <w:pPr>
        <w:spacing w:after="60" w:before="60"/>
      </w:pPr>
      <w:r>
        <w:rPr>
          <w:rFonts w:ascii="Arial" w:cs="Arial" w:eastAsia="Arial" w:hAnsi="Arial"/>
          <w:sz w:val="22"/>
          <w:szCs w:val="22"/>
        </w:rPr>
        <w:t xml:space="preserve">"Change of Control" means: (a) sale of more than 50% of Company shares to a single third party; (b) merger where Company is not the surviving entity; or (c) sale of substantially all assets.</w:t>
      </w:r>
    </w:p>
    <w:p>
      <w:r>
        <w:br w:type="page"/>
      </w:r>
    </w:p>
    <w:p>
      <w:pPr>
        <w:pStyle w:val="Heading1"/>
        <w:spacing w:after="120" w:before="300"/>
      </w:pPr>
      <w:r>
        <w:rPr>
          <w:rFonts w:ascii="Arial" w:cs="Arial" w:eastAsia="Arial" w:hAnsi="Arial"/>
          <w:b/>
          <w:bCs/>
          <w:color w:val="2D6E8A"/>
          <w:sz w:val="28"/>
          <w:szCs w:val="28"/>
        </w:rPr>
        <w:t xml:space="preserve">5. Exercise Terms</w:t>
      </w:r>
    </w:p>
    <w:p>
      <w:pPr>
        <w:pStyle w:val="Heading2"/>
        <w:spacing w:after="80" w:before="200"/>
      </w:pPr>
      <w:r>
        <w:rPr>
          <w:rFonts w:ascii="Arial" w:cs="Arial" w:eastAsia="Arial" w:hAnsi="Arial"/>
          <w:b/>
          <w:bCs/>
          <w:color w:val="0A0E12"/>
          <w:sz w:val="24"/>
          <w:szCs w:val="24"/>
        </w:rPr>
        <w:t xml:space="preserve">5.1 Exercise Price</w:t>
      </w:r>
    </w:p>
    <w:p>
      <w:pPr>
        <w:spacing w:after="60" w:before="60"/>
      </w:pPr>
      <w:r>
        <w:rPr>
          <w:rFonts w:ascii="Arial" w:cs="Arial" w:eastAsia="Arial" w:hAnsi="Arial"/>
          <w:sz w:val="22"/>
          <w:szCs w:val="22"/>
        </w:rPr>
        <w:t xml:space="preserve">Set at FMV per share on the Grant Date as determined by the Board (or independent appraiser). Stated in each grant letter.</w:t>
      </w:r>
    </w:p>
    <w:p>
      <w:pPr>
        <w:pStyle w:val="Heading2"/>
        <w:spacing w:after="80" w:before="200"/>
      </w:pPr>
      <w:r>
        <w:rPr>
          <w:rFonts w:ascii="Arial" w:cs="Arial" w:eastAsia="Arial" w:hAnsi="Arial"/>
          <w:b/>
          <w:bCs/>
          <w:color w:val="0A0E12"/>
          <w:sz w:val="24"/>
          <w:szCs w:val="24"/>
        </w:rPr>
        <w:t xml:space="preserve">5.2 Exercise Period</w:t>
      </w:r>
    </w:p>
    <w:p>
      <w:pPr>
        <w:spacing w:after="60" w:before="60"/>
      </w:pPr>
      <w:r>
        <w:rPr>
          <w:rFonts w:ascii="Arial" w:cs="Arial" w:eastAsia="Arial" w:hAnsi="Arial"/>
          <w:sz w:val="22"/>
          <w:szCs w:val="22"/>
        </w:rPr>
        <w:t xml:space="preserve">Awards may be exercised at any time during the ten (10)-year term from the Grant Date.</w:t>
      </w:r>
    </w:p>
    <w:p>
      <w:pPr>
        <w:pStyle w:val="Heading2"/>
        <w:spacing w:after="80" w:before="200"/>
      </w:pPr>
      <w:r>
        <w:rPr>
          <w:rFonts w:ascii="Arial" w:cs="Arial" w:eastAsia="Arial" w:hAnsi="Arial"/>
          <w:b/>
          <w:bCs/>
          <w:color w:val="0A0E12"/>
          <w:sz w:val="24"/>
          <w:szCs w:val="24"/>
        </w:rPr>
        <w:t xml:space="preserve">5.3 Post-Termination Window</w:t>
      </w:r>
    </w:p>
    <w:p>
      <w:pPr>
        <w:pStyle w:val="ListParagraph"/>
        <w:numPr>
          <w:ilvl w:val="0"/>
          <w:numId w:val="2"/>
        </w:numPr>
        <w:spacing w:after="40" w:before="40"/>
      </w:pPr>
      <w:r>
        <w:rPr>
          <w:rFonts w:ascii="Arial" w:cs="Arial" w:eastAsia="Arial" w:hAnsi="Arial"/>
          <w:sz w:val="22"/>
          <w:szCs w:val="22"/>
        </w:rPr>
        <w:t xml:space="preserve">Good Leaver: ninety (90) calendar days to exercise vested awards; unvested awards forfeited</w:t>
      </w:r>
    </w:p>
    <w:p>
      <w:pPr>
        <w:pStyle w:val="ListParagraph"/>
        <w:numPr>
          <w:ilvl w:val="0"/>
          <w:numId w:val="2"/>
        </w:numPr>
        <w:spacing w:after="40" w:before="40"/>
      </w:pPr>
      <w:r>
        <w:rPr>
          <w:rFonts w:ascii="Arial" w:cs="Arial" w:eastAsia="Arial" w:hAnsi="Arial"/>
          <w:sz w:val="22"/>
          <w:szCs w:val="22"/>
        </w:rPr>
        <w:t xml:space="preserve">Bad Leaver: all awards (vested and unvested) expire immediately upon termination</w:t>
      </w:r>
    </w:p>
    <w:p>
      <w:r>
        <w:br w:type="page"/>
      </w:r>
    </w:p>
    <w:p>
      <w:pPr>
        <w:pStyle w:val="Heading1"/>
        <w:spacing w:after="120" w:before="300"/>
      </w:pPr>
      <w:r>
        <w:rPr>
          <w:rFonts w:ascii="Arial" w:cs="Arial" w:eastAsia="Arial" w:hAnsi="Arial"/>
          <w:b/>
          <w:bCs/>
          <w:color w:val="2D6E8A"/>
          <w:sz w:val="28"/>
          <w:szCs w:val="28"/>
        </w:rPr>
        <w:t xml:space="preserve">6. Administration</w:t>
      </w:r>
    </w:p>
    <w:p>
      <w:pPr>
        <w:spacing w:after="60" w:before="60"/>
      </w:pPr>
      <w:r>
        <w:rPr>
          <w:rFonts w:ascii="Arial" w:cs="Arial" w:eastAsia="Arial" w:hAnsi="Arial"/>
          <w:sz w:val="22"/>
          <w:szCs w:val="22"/>
        </w:rPr>
        <w:t xml:space="preserve">The Board (or authorized committee) administers the Plan with authority to: grant awards; determine vesting terms, exercise prices, and award sizes; interpret Plan terms; amend the Plan per Section 9; and maintain the ESOP Register.</w:t>
      </w:r>
    </w:p>
    <w:p>
      <w:pPr>
        <w:spacing w:after="60" w:before="60"/>
      </w:pPr>
      <w:r>
        <w:rPr>
          <w:rFonts w:ascii="Arial" w:cs="Arial" w:eastAsia="Arial" w:hAnsi="Arial"/>
          <w:sz w:val="22"/>
          <w:szCs w:val="22"/>
        </w:rPr>
        <w:t xml:space="preserve">Each grant requires Board approval and a fully executed grant letter.</w:t>
      </w:r>
    </w:p>
    <w:p>
      <w:r>
        <w:br w:type="page"/>
      </w:r>
    </w:p>
    <w:p>
      <w:pPr>
        <w:pStyle w:val="Heading1"/>
        <w:spacing w:after="120" w:before="300"/>
      </w:pPr>
      <w:r>
        <w:rPr>
          <w:rFonts w:ascii="Arial" w:cs="Arial" w:eastAsia="Arial" w:hAnsi="Arial"/>
          <w:b/>
          <w:bCs/>
          <w:color w:val="2D6E8A"/>
          <w:sz w:val="28"/>
          <w:szCs w:val="28"/>
        </w:rPr>
        <w:t xml:space="preserve">7. Tax Treatment — Saudi Zakat and Tax Note</w:t>
      </w:r>
    </w:p>
    <w:p>
      <w:pPr>
        <w:pStyle w:val="ListParagraph"/>
        <w:numPr>
          <w:ilvl w:val="0"/>
          <w:numId w:val="2"/>
        </w:numPr>
        <w:spacing w:after="40" w:before="40"/>
      </w:pPr>
      <w:r>
        <w:rPr>
          <w:rFonts w:ascii="Arial" w:cs="Arial" w:eastAsia="Arial" w:hAnsi="Arial"/>
          <w:sz w:val="22"/>
          <w:szCs w:val="22"/>
        </w:rPr>
        <w:t xml:space="preserve">Saudi nationals: subject to Zakat (not income tax); ZATCA guidance on phantom share income is evolving — monitor annually</w:t>
      </w:r>
    </w:p>
    <w:p>
      <w:pPr>
        <w:pStyle w:val="ListParagraph"/>
        <w:numPr>
          <w:ilvl w:val="0"/>
          <w:numId w:val="2"/>
        </w:numPr>
        <w:spacing w:after="40" w:before="40"/>
      </w:pPr>
      <w:r>
        <w:rPr>
          <w:rFonts w:ascii="Arial" w:cs="Arial" w:eastAsia="Arial" w:hAnsi="Arial"/>
          <w:sz w:val="22"/>
          <w:szCs w:val="22"/>
        </w:rPr>
        <w:t xml:space="preserve">Non-Saudi employees: subject to income tax; ESOP gains may be treated as employment income taxable at vesting or exercise</w:t>
      </w:r>
    </w:p>
    <w:p>
      <w:pPr>
        <w:pStyle w:val="ListParagraph"/>
        <w:numPr>
          <w:ilvl w:val="0"/>
          <w:numId w:val="2"/>
        </w:numPr>
        <w:spacing w:after="40" w:before="40"/>
      </w:pPr>
      <w:r>
        <w:rPr>
          <w:rFonts w:ascii="Arial" w:cs="Arial" w:eastAsia="Arial" w:hAnsi="Arial"/>
          <w:sz w:val="22"/>
          <w:szCs w:val="22"/>
        </w:rPr>
        <w:t xml:space="preserve">The Company shall withhold applicable taxes at source as required by current ZATCA guidance</w:t>
      </w:r>
    </w:p>
    <w:p>
      <w:pPr>
        <w:pStyle w:val="ListParagraph"/>
        <w:numPr>
          <w:ilvl w:val="0"/>
          <w:numId w:val="2"/>
        </w:numPr>
        <w:spacing w:after="40" w:before="40"/>
      </w:pPr>
      <w:r>
        <w:rPr>
          <w:rFonts w:ascii="Arial" w:cs="Arial" w:eastAsia="Arial" w:hAnsi="Arial"/>
          <w:sz w:val="22"/>
          <w:szCs w:val="22"/>
        </w:rPr>
        <w:t xml:space="preserve">Each grantee is individually responsible for their personal tax and Zakat obligations</w:t>
      </w:r>
    </w:p>
    <w:p>
      <w:pPr>
        <w:spacing w:after="60" w:before="60"/>
      </w:pPr>
      <w:r>
        <w:rPr>
          <w:rFonts w:ascii="Arial" w:cs="Arial" w:eastAsia="Arial" w:hAnsi="Arial"/>
          <w:sz w:val="22"/>
          <w:szCs w:val="22"/>
        </w:rPr>
        <w:t xml:space="preserve">Grantees should seek independent tax advice before exercising awards. This Plan does not constitute tax advice.</w:t>
      </w:r>
    </w:p>
    <w:p>
      <w:r>
        <w:br w:type="page"/>
      </w:r>
    </w:p>
    <w:p>
      <w:pPr>
        <w:pStyle w:val="Heading1"/>
        <w:spacing w:after="120" w:before="300"/>
      </w:pPr>
      <w:r>
        <w:rPr>
          <w:rFonts w:ascii="Arial" w:cs="Arial" w:eastAsia="Arial" w:hAnsi="Arial"/>
          <w:b/>
          <w:bCs/>
          <w:color w:val="2D6E8A"/>
          <w:sz w:val="28"/>
          <w:szCs w:val="28"/>
        </w:rPr>
        <w:t xml:space="preserve">8. Transfer Restrictions</w:t>
      </w:r>
    </w:p>
    <w:p>
      <w:pPr>
        <w:spacing w:after="60" w:before="60"/>
      </w:pPr>
      <w:r>
        <w:rPr>
          <w:rFonts w:ascii="Arial" w:cs="Arial" w:eastAsia="Arial" w:hAnsi="Arial"/>
          <w:sz w:val="22"/>
          <w:szCs w:val="22"/>
        </w:rPr>
        <w:t xml:space="preserve">ESOP awards are personal to the grantee and may not be transferred, assigned, pledged, or hypothecated except by will or laws of descent upon death (Good Leaver window applies), or with prior written Board consent.</w:t>
      </w:r>
    </w:p>
    <w:p>
      <w:r>
        <w:br w:type="page"/>
      </w:r>
    </w:p>
    <w:p>
      <w:pPr>
        <w:pStyle w:val="Heading1"/>
        <w:spacing w:after="120" w:before="300"/>
      </w:pPr>
      <w:r>
        <w:rPr>
          <w:rFonts w:ascii="Arial" w:cs="Arial" w:eastAsia="Arial" w:hAnsi="Arial"/>
          <w:b/>
          <w:bCs/>
          <w:color w:val="2D6E8A"/>
          <w:sz w:val="28"/>
          <w:szCs w:val="28"/>
        </w:rPr>
        <w:t xml:space="preserve">9. Termination and Amendments</w:t>
      </w:r>
    </w:p>
    <w:p>
      <w:pPr>
        <w:pStyle w:val="Heading2"/>
        <w:spacing w:after="80" w:before="200"/>
      </w:pPr>
      <w:r>
        <w:rPr>
          <w:rFonts w:ascii="Arial" w:cs="Arial" w:eastAsia="Arial" w:hAnsi="Arial"/>
          <w:b/>
          <w:bCs/>
          <w:color w:val="0A0E12"/>
          <w:sz w:val="24"/>
          <w:szCs w:val="24"/>
        </w:rPr>
        <w:t xml:space="preserve">9.1 Term</w:t>
      </w:r>
    </w:p>
    <w:p>
      <w:pPr>
        <w:spacing w:after="60" w:before="60"/>
      </w:pPr>
      <w:r>
        <w:rPr>
          <w:rFonts w:ascii="Arial" w:cs="Arial" w:eastAsia="Arial" w:hAnsi="Arial"/>
          <w:sz w:val="22"/>
          <w:szCs w:val="22"/>
        </w:rPr>
        <w:t xml:space="preserve">This Plan is effective for ten (10) years from the Effective Date unless earlier terminated by the Board.</w:t>
      </w:r>
    </w:p>
    <w:p>
      <w:pPr>
        <w:pStyle w:val="Heading2"/>
        <w:spacing w:after="80" w:before="200"/>
      </w:pPr>
      <w:r>
        <w:rPr>
          <w:rFonts w:ascii="Arial" w:cs="Arial" w:eastAsia="Arial" w:hAnsi="Arial"/>
          <w:b/>
          <w:bCs/>
          <w:color w:val="0A0E12"/>
          <w:sz w:val="24"/>
          <w:szCs w:val="24"/>
        </w:rPr>
        <w:t xml:space="preserve">9.2 Amendment</w:t>
      </w:r>
    </w:p>
    <w:p>
      <w:pPr>
        <w:spacing w:after="60" w:before="60"/>
      </w:pPr>
      <w:r>
        <w:rPr>
          <w:rFonts w:ascii="Arial" w:cs="Arial" w:eastAsia="Arial" w:hAnsi="Arial"/>
          <w:sz w:val="22"/>
          <w:szCs w:val="22"/>
        </w:rPr>
        <w:t xml:space="preserve">The Board may amend at any time, except: no amendment may adversely affect vested rights without grantee consent; material amendments (pool increase above 10%, award type changes, price reductions) require Shareholder Supermajority approval.</w:t>
      </w:r>
    </w:p>
    <w:p>
      <w:pPr>
        <w:pStyle w:val="Heading2"/>
        <w:spacing w:after="80" w:before="200"/>
      </w:pPr>
      <w:r>
        <w:rPr>
          <w:rFonts w:ascii="Arial" w:cs="Arial" w:eastAsia="Arial" w:hAnsi="Arial"/>
          <w:b/>
          <w:bCs/>
          <w:color w:val="0A0E12"/>
          <w:sz w:val="24"/>
          <w:szCs w:val="24"/>
        </w:rPr>
        <w:t xml:space="preserve">9.3 Termination</w:t>
      </w:r>
    </w:p>
    <w:p>
      <w:pPr>
        <w:spacing w:after="60" w:before="60"/>
      </w:pPr>
      <w:r>
        <w:rPr>
          <w:rFonts w:ascii="Arial" w:cs="Arial" w:eastAsia="Arial" w:hAnsi="Arial"/>
          <w:sz w:val="22"/>
          <w:szCs w:val="22"/>
        </w:rPr>
        <w:t xml:space="preserve">Upon Plan termination, outstanding unvested awards continue to vest on their existing terms unless the Board accelerates or cancels with grantee consent.</w:t>
      </w:r>
    </w:p>
    <w:p>
      <w:r>
        <w:br w:type="page"/>
      </w:r>
    </w:p>
    <w:p>
      <w:pPr>
        <w:pStyle w:val="Heading1"/>
        <w:spacing w:after="120" w:before="300"/>
      </w:pPr>
      <w:r>
        <w:rPr>
          <w:rFonts w:ascii="Arial" w:cs="Arial" w:eastAsia="Arial" w:hAnsi="Arial"/>
          <w:b/>
          <w:bCs/>
          <w:color w:val="2D6E8A"/>
          <w:sz w:val="28"/>
          <w:szCs w:val="28"/>
        </w:rPr>
        <w:t xml:space="preserve">10. Miscellaneous</w:t>
      </w:r>
    </w:p>
    <w:p>
      <w:pPr>
        <w:pStyle w:val="ListParagraph"/>
        <w:numPr>
          <w:ilvl w:val="0"/>
          <w:numId w:val="2"/>
        </w:numPr>
        <w:spacing w:after="40" w:before="40"/>
      </w:pPr>
      <w:r>
        <w:rPr>
          <w:rFonts w:ascii="Arial" w:cs="Arial" w:eastAsia="Arial" w:hAnsi="Arial"/>
          <w:sz w:val="22"/>
          <w:szCs w:val="22"/>
        </w:rPr>
        <w:t xml:space="preserve">No Employment Right: This Plan does not create any right to continued employment</w:t>
      </w:r>
    </w:p>
    <w:p>
      <w:pPr>
        <w:pStyle w:val="ListParagraph"/>
        <w:numPr>
          <w:ilvl w:val="0"/>
          <w:numId w:val="2"/>
        </w:numPr>
        <w:spacing w:after="40" w:before="40"/>
      </w:pPr>
      <w:r>
        <w:rPr>
          <w:rFonts w:ascii="Arial" w:cs="Arial" w:eastAsia="Arial" w:hAnsi="Arial"/>
          <w:sz w:val="22"/>
          <w:szCs w:val="22"/>
        </w:rPr>
        <w:t xml:space="preserve">Governing Law: Kingdom of Saudi Arabia; disputes resolved under SCCA Rules</w:t>
      </w:r>
    </w:p>
    <w:p>
      <w:pPr>
        <w:pStyle w:val="ListParagraph"/>
        <w:numPr>
          <w:ilvl w:val="0"/>
          <w:numId w:val="2"/>
        </w:numPr>
        <w:spacing w:after="40" w:before="40"/>
      </w:pPr>
      <w:r>
        <w:rPr>
          <w:rFonts w:ascii="Arial" w:cs="Arial" w:eastAsia="Arial" w:hAnsi="Arial"/>
          <w:sz w:val="22"/>
          <w:szCs w:val="22"/>
        </w:rPr>
        <w:t xml:space="preserve">Language: English primary; Arabic version where required by Saudi law</w:t>
      </w:r>
    </w:p>
    <w:p>
      <w:r>
        <w:br w:type="page"/>
      </w:r>
    </w:p>
    <w:p>
      <w:pPr>
        <w:pStyle w:val="Heading1"/>
        <w:spacing w:after="120" w:before="300"/>
      </w:pPr>
      <w:r>
        <w:rPr>
          <w:rFonts w:ascii="Arial" w:cs="Arial" w:eastAsia="Arial" w:hAnsi="Arial"/>
          <w:b/>
          <w:bCs/>
          <w:color w:val="2D6E8A"/>
          <w:sz w:val="28"/>
          <w:szCs w:val="28"/>
        </w:rPr>
        <w:t xml:space="preserve">Exhibit A — Option / PSU Grant Letter Template</w:t>
      </w:r>
    </w:p>
    <w:p>
      <w:pPr>
        <w:spacing w:after="60" w:before="60"/>
      </w:pPr>
      <w:r>
        <w:rPr>
          <w:rFonts w:ascii="Arial" w:cs="Arial" w:eastAsia="Arial" w:hAnsi="Arial"/>
          <w:sz w:val="22"/>
          <w:szCs w:val="22"/>
        </w:rPr>
        <w:t xml:space="preserve">GRANT LETTER — FLY GACA ESOP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Grant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[GRANT_DATE]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Grantee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[GRANTEE_FULL_NAME]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Grantee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[GRANTEE_TITLE]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Award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[PSU / ACTUAL SHARE AWARD]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Number of Units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[AWARD_SIZE]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Exercise 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[EXERCISE_PRICE] SAR per unit</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Vesting Commencement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[VESTING_START_DATE]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Vesting Schedule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4-year / 1-year cliff (25% year 1; 1/48th/month thereafter)</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Award Expiry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years from Grant Date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Good Leaver Window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 days post-termination to exercise vested awards</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Bad Leaver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 forfeiture of all awards</w:t>
            </w:r>
          </w:p>
        </w:tc>
      </w:tr>
    </w:tbl>
    <w:p>
      <w:pPr>
        <w:spacing w:after="80" w:before="80"/>
      </w:pPr>
      <w:r>
        <w:t xml:space="preserve"/>
      </w:r>
    </w:p>
    <w:p>
      <w:pPr>
        <w:spacing w:after="60" w:before="60"/>
      </w:pPr>
      <w:r>
        <w:rPr>
          <w:rFonts w:ascii="Arial" w:cs="Arial" w:eastAsia="Arial" w:hAnsi="Arial"/>
          <w:sz w:val="22"/>
          <w:szCs w:val="22"/>
        </w:rPr>
        <w:t xml:space="preserve">By signing below, the Grantee acknowledges receipt of this Grant Letter and the ESOP Plan, agrees to be bound by its terms, and confirms having had the opportunity to seek independent legal and tax advice.</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FLY GACA — Adel Yahya A. Madkhali, CEO</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GRANTEE: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r>
        <w:br w:type="page"/>
      </w:r>
    </w:p>
    <w:p>
      <w:pPr>
        <w:pStyle w:val="Heading1"/>
        <w:spacing w:after="120" w:before="300"/>
      </w:pPr>
      <w:r>
        <w:rPr>
          <w:rFonts w:ascii="Arial" w:cs="Arial" w:eastAsia="Arial" w:hAnsi="Arial"/>
          <w:b/>
          <w:bCs/>
          <w:color w:val="2D6E8A"/>
          <w:sz w:val="28"/>
          <w:szCs w:val="28"/>
        </w:rPr>
        <w:t xml:space="preserve">Appendix A — Vesting Schedule Worked Examples</w:t>
      </w:r>
    </w:p>
    <w:p>
      <w:pPr>
        <w:pStyle w:val="Heading2"/>
        <w:spacing w:after="80" w:before="200"/>
      </w:pPr>
      <w:r>
        <w:rPr>
          <w:rFonts w:ascii="Arial" w:cs="Arial" w:eastAsia="Arial" w:hAnsi="Arial"/>
          <w:b/>
          <w:bCs/>
          <w:color w:val="0A0E12"/>
          <w:sz w:val="24"/>
          <w:szCs w:val="24"/>
        </w:rPr>
        <w:t xml:space="preserve">Standard Grant: 480 Units, Grant Date 1 January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Cumulative Vested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1 Jan [YEAR+1] (Month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 units (25%)</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1 Feb [YEAR+1] (Month 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 units</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1 Jan [YEAR+2] (Month 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240 units (50%)</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1 Jan [YEAR+3] (Month 36)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360 units (75%)</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1 Jan [YEAR+4] (Month 48)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480 units (100%)</w:t>
            </w:r>
          </w:p>
        </w:tc>
      </w:tr>
    </w:tbl>
    <w:p>
      <w:pPr>
        <w:spacing w:after="80" w:before="80"/>
      </w:pPr>
      <w:r>
        <w:t xml:space="preserve"/>
      </w:r>
    </w:p>
    <w:p>
      <w:pPr>
        <w:pStyle w:val="Heading2"/>
        <w:spacing w:after="80" w:before="200"/>
      </w:pPr>
      <w:r>
        <w:rPr>
          <w:rFonts w:ascii="Arial" w:cs="Arial" w:eastAsia="Arial" w:hAnsi="Arial"/>
          <w:b/>
          <w:bCs/>
          <w:color w:val="0A0E12"/>
          <w:sz w:val="24"/>
          <w:szCs w:val="24"/>
        </w:rPr>
        <w:t xml:space="preserve">Change of Control Scenarios</w:t>
      </w:r>
    </w:p>
    <w:p>
      <w:pPr>
        <w:spacing w:after="60" w:before="60"/>
      </w:pPr>
      <w:r>
        <w:rPr>
          <w:rFonts w:ascii="Arial" w:cs="Arial" w:eastAsia="Arial" w:hAnsi="Arial"/>
          <w:sz w:val="22"/>
          <w:szCs w:val="22"/>
        </w:rPr>
        <w:t xml:space="preserve">Hire #1 (Single-Trigger): 240 unvested units vest immediately upon Change of Control closing, regardless of retention.</w:t>
      </w:r>
    </w:p>
    <w:p>
      <w:pPr>
        <w:spacing w:after="60" w:before="60"/>
      </w:pPr>
      <w:r>
        <w:rPr>
          <w:rFonts w:ascii="Arial" w:cs="Arial" w:eastAsia="Arial" w:hAnsi="Arial"/>
          <w:sz w:val="22"/>
          <w:szCs w:val="22"/>
        </w:rPr>
        <w:t xml:space="preserve">Hire #5 (Double-Trigger): 180 unvested units vest only if the grantee is terminated without Cause or resigns for Good Reason within 12 months following Change of Control closing.</w:t>
      </w:r>
    </w:p>
    <w:p>
      <w:r>
        <w:br w:type="page"/>
      </w:r>
    </w:p>
    <w:p>
      <w:pPr>
        <w:pStyle w:val="Heading1"/>
        <w:spacing w:after="120" w:before="300"/>
      </w:pPr>
      <w:r>
        <w:rPr>
          <w:rFonts w:ascii="Arial" w:cs="Arial" w:eastAsia="Arial" w:hAnsi="Arial"/>
          <w:b/>
          <w:bCs/>
          <w:color w:val="2D6E8A"/>
          <w:sz w:val="28"/>
          <w:szCs w:val="28"/>
        </w:rPr>
        <w:t xml:space="preserve">Appendix B — ZATCA Compliance Checklist</w:t>
      </w:r>
    </w:p>
    <w:p>
      <w:pPr>
        <w:pStyle w:val="ListParagraph"/>
        <w:numPr>
          <w:ilvl w:val="0"/>
          <w:numId w:val="2"/>
        </w:numPr>
        <w:spacing w:after="40" w:before="40"/>
      </w:pPr>
      <w:r>
        <w:rPr>
          <w:rFonts w:ascii="Arial" w:cs="Arial" w:eastAsia="Arial" w:hAnsi="Arial"/>
          <w:sz w:val="22"/>
          <w:szCs w:val="22"/>
        </w:rPr>
        <w:t xml:space="preserve">Determine if each grantee is Saudi national (Zakat) or non-Saudi (income tax)</w:t>
      </w:r>
    </w:p>
    <w:p>
      <w:pPr>
        <w:pStyle w:val="ListParagraph"/>
        <w:numPr>
          <w:ilvl w:val="0"/>
          <w:numId w:val="2"/>
        </w:numPr>
        <w:spacing w:after="40" w:before="40"/>
      </w:pPr>
      <w:r>
        <w:rPr>
          <w:rFonts w:ascii="Arial" w:cs="Arial" w:eastAsia="Arial" w:hAnsi="Arial"/>
          <w:sz w:val="22"/>
          <w:szCs w:val="22"/>
        </w:rPr>
        <w:t xml:space="preserve">For non-Saudi employees: assess taxability of ESOP gain as employment income at vesting or exercise</w:t>
      </w:r>
    </w:p>
    <w:p>
      <w:pPr>
        <w:pStyle w:val="ListParagraph"/>
        <w:numPr>
          <w:ilvl w:val="0"/>
          <w:numId w:val="2"/>
        </w:numPr>
        <w:spacing w:after="40" w:before="40"/>
      </w:pPr>
      <w:r>
        <w:rPr>
          <w:rFonts w:ascii="Arial" w:cs="Arial" w:eastAsia="Arial" w:hAnsi="Arial"/>
          <w:sz w:val="22"/>
          <w:szCs w:val="22"/>
        </w:rPr>
        <w:t xml:space="preserve">Implement withholding mechanism for non-Saudi employees at each taxable event</w:t>
      </w:r>
    </w:p>
    <w:p>
      <w:pPr>
        <w:pStyle w:val="ListParagraph"/>
        <w:numPr>
          <w:ilvl w:val="0"/>
          <w:numId w:val="2"/>
        </w:numPr>
        <w:spacing w:after="40" w:before="40"/>
      </w:pPr>
      <w:r>
        <w:rPr>
          <w:rFonts w:ascii="Arial" w:cs="Arial" w:eastAsia="Arial" w:hAnsi="Arial"/>
          <w:sz w:val="22"/>
          <w:szCs w:val="22"/>
        </w:rPr>
        <w:t xml:space="preserve">Document FMV at each Grant Date via Board resolution or independent valuation</w:t>
      </w:r>
    </w:p>
    <w:p>
      <w:pPr>
        <w:pStyle w:val="ListParagraph"/>
        <w:numPr>
          <w:ilvl w:val="0"/>
          <w:numId w:val="2"/>
        </w:numPr>
        <w:spacing w:after="40" w:before="40"/>
      </w:pPr>
      <w:r>
        <w:rPr>
          <w:rFonts w:ascii="Arial" w:cs="Arial" w:eastAsia="Arial" w:hAnsi="Arial"/>
          <w:sz w:val="22"/>
          <w:szCs w:val="22"/>
        </w:rPr>
        <w:t xml:space="preserve">Retain all grant letters and exercise records for minimum 10 years for ZATCA audit purposes</w:t>
      </w:r>
    </w:p>
    <w:p>
      <w:pPr>
        <w:pStyle w:val="ListParagraph"/>
        <w:numPr>
          <w:ilvl w:val="0"/>
          <w:numId w:val="2"/>
        </w:numPr>
        <w:spacing w:after="40" w:before="40"/>
      </w:pPr>
      <w:r>
        <w:rPr>
          <w:rFonts w:ascii="Arial" w:cs="Arial" w:eastAsia="Arial" w:hAnsi="Arial"/>
          <w:sz w:val="22"/>
          <w:szCs w:val="22"/>
        </w:rPr>
        <w:t xml:space="preserve">Register ESOP plan with ZATCA if required under current guidance</w:t>
      </w:r>
    </w:p>
    <w:p>
      <w:pPr>
        <w:pStyle w:val="ListParagraph"/>
        <w:numPr>
          <w:ilvl w:val="0"/>
          <w:numId w:val="2"/>
        </w:numPr>
        <w:spacing w:after="40" w:before="40"/>
      </w:pPr>
      <w:r>
        <w:rPr>
          <w:rFonts w:ascii="Arial" w:cs="Arial" w:eastAsia="Arial" w:hAnsi="Arial"/>
          <w:sz w:val="22"/>
          <w:szCs w:val="22"/>
        </w:rPr>
        <w:t xml:space="preserve">Monitor ZATCA guidance on phantom share taxation annually — update Plan as needed</w:t>
      </w:r>
    </w:p>
    <w:p>
      <w:r>
        <w:br w:type="page"/>
      </w:r>
    </w:p>
    <w:p>
      <w:pPr>
        <w:pStyle w:val="Heading1"/>
        <w:spacing w:after="120" w:before="300"/>
      </w:pPr>
      <w:r>
        <w:rPr>
          <w:rFonts w:ascii="Arial" w:cs="Arial" w:eastAsia="Arial" w:hAnsi="Arial"/>
          <w:b/>
          <w:bCs/>
          <w:color w:val="2D6E8A"/>
          <w:sz w:val="28"/>
          <w:szCs w:val="28"/>
        </w:rPr>
        <w:t xml:space="preserve">Appendix C — ESOP Pool Usage Tracker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Grantee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Grant Date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[NAME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[NAME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POOL BALANCE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r>
        <w:br w:type="page"/>
      </w:r>
    </w:p>
    <w:p>
      <w:pPr>
        <w:pStyle w:val="Heading1"/>
        <w:spacing w:after="120" w:before="300"/>
      </w:pPr>
      <w:r>
        <w:rPr>
          <w:rFonts w:ascii="Arial" w:cs="Arial" w:eastAsia="Arial" w:hAnsi="Arial"/>
          <w:b/>
          <w:bCs/>
          <w:color w:val="2D6E8A"/>
          <w:sz w:val="28"/>
          <w:szCs w:val="28"/>
        </w:rPr>
        <w:t xml:space="preserve">Appendix D — Glossary of Key ESOP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Award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grant of PSUs or actual shares under this Plan evidenced by a grant letter</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Bad Leaver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Termination for Cause; resignation without adequate notice; or material breach of Plan terms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Change of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 of 50%+ of Company shares to third party; merger where Company not surviving entity; or sale of substantially all assets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Double-Trigger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Acceleration requiring both (1) Change of Control AND (2) termination without Cause or resignation for Good Reason within 12 months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Exercise 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Price per unit/share the grantee pays to exercise, set at FMV on Grant Date</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FMV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Fair Market Value per share as determined by Board in good faith or by independent appraiser if disputed</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Good Leaver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Termination without Cause; death; permanent disability; or resignation with adequate notice</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Grant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Board formally approves award and grantee receives executed grant letter</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PSU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Phantom Share Unit — contractual right to cash payment equal to (FMV minus Exercise Price) per unit upon exercise or liquidity event</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Single-Trigger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Acceleration on Change of Control alone — applies only to first 3 hires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Vesting Commencement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from which the vesting schedule begins, as specified in each grant letter</w:t>
            </w:r>
          </w:p>
        </w:tc>
      </w:tr>
    </w:tbl>
    <w:p>
      <w:r>
        <w:br w:type="page"/>
      </w:r>
    </w:p>
    <w:p>
      <w:pPr>
        <w:pStyle w:val="Heading1"/>
        <w:spacing w:after="120" w:before="300"/>
      </w:pPr>
      <w:r>
        <w:rPr>
          <w:rFonts w:ascii="Arial" w:cs="Arial" w:eastAsia="Arial" w:hAnsi="Arial"/>
          <w:b/>
          <w:bCs/>
          <w:color w:val="2D6E8A"/>
          <w:sz w:val="28"/>
          <w:szCs w:val="28"/>
        </w:rPr>
        <w:t xml:space="preserve">Appendix E — Saudi LLC Equity Award Mechanics</w:t>
      </w:r>
    </w:p>
    <w:p>
      <w:pPr>
        <w:spacing w:after="60" w:before="60"/>
      </w:pPr>
      <w:r>
        <w:rPr>
          <w:rFonts w:ascii="Arial" w:cs="Arial" w:eastAsia="Arial" w:hAnsi="Arial"/>
          <w:sz w:val="22"/>
          <w:szCs w:val="22"/>
        </w:rPr>
        <w:t xml:space="preserve">Saudi LLCs are governed by the Saudi Companies Law (Royal Decree No. M/3) and MISA regulations. The following applies to actual share awards under this Plan:</w:t>
      </w:r>
    </w:p>
    <w:p>
      <w:pPr>
        <w:pStyle w:val="Heading2"/>
        <w:spacing w:after="80" w:before="200"/>
      </w:pPr>
      <w:r>
        <w:rPr>
          <w:rFonts w:ascii="Arial" w:cs="Arial" w:eastAsia="Arial" w:hAnsi="Arial"/>
          <w:b/>
          <w:bCs/>
          <w:color w:val="0A0E12"/>
          <w:sz w:val="24"/>
          <w:szCs w:val="24"/>
        </w:rPr>
        <w:t xml:space="preserve">Share Transfer Requirements</w:t>
      </w:r>
    </w:p>
    <w:p>
      <w:pPr>
        <w:pStyle w:val="ListParagraph"/>
        <w:numPr>
          <w:ilvl w:val="0"/>
          <w:numId w:val="2"/>
        </w:numPr>
        <w:spacing w:after="40" w:before="40"/>
      </w:pPr>
      <w:r>
        <w:rPr>
          <w:rFonts w:ascii="Arial" w:cs="Arial" w:eastAsia="Arial" w:hAnsi="Arial"/>
          <w:sz w:val="22"/>
          <w:szCs w:val="22"/>
        </w:rPr>
        <w:t xml:space="preserve">All LLC share transfers must be executed by notarized deed before a Saudi notary public</w:t>
      </w:r>
    </w:p>
    <w:p>
      <w:pPr>
        <w:pStyle w:val="ListParagraph"/>
        <w:numPr>
          <w:ilvl w:val="0"/>
          <w:numId w:val="2"/>
        </w:numPr>
        <w:spacing w:after="40" w:before="40"/>
      </w:pPr>
      <w:r>
        <w:rPr>
          <w:rFonts w:ascii="Arial" w:cs="Arial" w:eastAsia="Arial" w:hAnsi="Arial"/>
          <w:sz w:val="22"/>
          <w:szCs w:val="22"/>
        </w:rPr>
        <w:t xml:space="preserve">Transfers must be registered with MISA and the Ministry of Commerce</w:t>
      </w:r>
    </w:p>
    <w:p>
      <w:pPr>
        <w:pStyle w:val="ListParagraph"/>
        <w:numPr>
          <w:ilvl w:val="0"/>
          <w:numId w:val="2"/>
        </w:numPr>
        <w:spacing w:after="40" w:before="40"/>
      </w:pPr>
      <w:r>
        <w:rPr>
          <w:rFonts w:ascii="Arial" w:cs="Arial" w:eastAsia="Arial" w:hAnsi="Arial"/>
          <w:sz w:val="22"/>
          <w:szCs w:val="22"/>
        </w:rPr>
        <w:t xml:space="preserve">Company CR must be updated to reflect any change in shareholding</w:t>
      </w:r>
    </w:p>
    <w:p>
      <w:pPr>
        <w:pStyle w:val="ListParagraph"/>
        <w:numPr>
          <w:ilvl w:val="0"/>
          <w:numId w:val="2"/>
        </w:numPr>
        <w:spacing w:after="40" w:before="40"/>
      </w:pPr>
      <w:r>
        <w:rPr>
          <w:rFonts w:ascii="Arial" w:cs="Arial" w:eastAsia="Arial" w:hAnsi="Arial"/>
          <w:sz w:val="22"/>
          <w:szCs w:val="22"/>
        </w:rPr>
        <w:t xml:space="preserve">Foreign shareholders may require MISA foreign investment approval before receiving LLC shares</w:t>
      </w:r>
    </w:p>
    <w:p>
      <w:pPr>
        <w:pStyle w:val="Heading2"/>
        <w:spacing w:after="80" w:before="200"/>
      </w:pPr>
      <w:r>
        <w:rPr>
          <w:rFonts w:ascii="Arial" w:cs="Arial" w:eastAsia="Arial" w:hAnsi="Arial"/>
          <w:b/>
          <w:bCs/>
          <w:color w:val="0A0E12"/>
          <w:sz w:val="24"/>
          <w:szCs w:val="24"/>
        </w:rPr>
        <w:t xml:space="preserve">Why PSUs Are Preferred at Early Stage</w:t>
      </w:r>
    </w:p>
    <w:p>
      <w:pPr>
        <w:pStyle w:val="ListParagraph"/>
        <w:numPr>
          <w:ilvl w:val="0"/>
          <w:numId w:val="2"/>
        </w:numPr>
        <w:spacing w:after="40" w:before="40"/>
      </w:pPr>
      <w:r>
        <w:rPr>
          <w:rFonts w:ascii="Arial" w:cs="Arial" w:eastAsia="Arial" w:hAnsi="Arial"/>
          <w:sz w:val="22"/>
          <w:szCs w:val="22"/>
        </w:rPr>
        <w:t xml:space="preserve">No MISA approval or notarized share transfer required for each individual PSU grant</w:t>
      </w:r>
    </w:p>
    <w:p>
      <w:pPr>
        <w:pStyle w:val="ListParagraph"/>
        <w:numPr>
          <w:ilvl w:val="0"/>
          <w:numId w:val="2"/>
        </w:numPr>
        <w:spacing w:after="40" w:before="40"/>
      </w:pPr>
      <w:r>
        <w:rPr>
          <w:rFonts w:ascii="Arial" w:cs="Arial" w:eastAsia="Arial" w:hAnsi="Arial"/>
          <w:sz w:val="22"/>
          <w:szCs w:val="22"/>
        </w:rPr>
        <w:t xml:space="preserve">No CR amendment filing for each new grantee — reduces administrative burden significantly</w:t>
      </w:r>
    </w:p>
    <w:p>
      <w:pPr>
        <w:pStyle w:val="ListParagraph"/>
        <w:numPr>
          <w:ilvl w:val="0"/>
          <w:numId w:val="2"/>
        </w:numPr>
        <w:spacing w:after="40" w:before="40"/>
      </w:pPr>
      <w:r>
        <w:rPr>
          <w:rFonts w:ascii="Arial" w:cs="Arial" w:eastAsia="Arial" w:hAnsi="Arial"/>
          <w:sz w:val="22"/>
          <w:szCs w:val="22"/>
        </w:rPr>
        <w:t xml:space="preserve">Equivalent economic benefit to actual share ownership without administrative complexity</w:t>
      </w:r>
    </w:p>
    <w:p>
      <w:pPr>
        <w:pStyle w:val="ListParagraph"/>
        <w:numPr>
          <w:ilvl w:val="0"/>
          <w:numId w:val="2"/>
        </w:numPr>
        <w:spacing w:after="40" w:before="40"/>
      </w:pPr>
      <w:r>
        <w:rPr>
          <w:rFonts w:ascii="Arial" w:cs="Arial" w:eastAsia="Arial" w:hAnsi="Arial"/>
          <w:sz w:val="22"/>
          <w:szCs w:val="22"/>
        </w:rPr>
        <w:t xml:space="preserve">Can be converted to actual shares at a single liquidity event via one notarized transaction</w:t>
      </w:r>
    </w:p>
    <w:p>
      <w:pPr>
        <w:pStyle w:val="Heading2"/>
        <w:spacing w:after="80" w:before="200"/>
      </w:pPr>
      <w:r>
        <w:rPr>
          <w:rFonts w:ascii="Arial" w:cs="Arial" w:eastAsia="Arial" w:hAnsi="Arial"/>
          <w:b/>
          <w:bCs/>
          <w:color w:val="0A0E12"/>
          <w:sz w:val="24"/>
          <w:szCs w:val="24"/>
        </w:rPr>
        <w:t xml:space="preserve">Registration</w:t>
      </w:r>
    </w:p>
    <w:p>
      <w:pPr>
        <w:spacing w:after="60" w:before="60"/>
      </w:pPr>
      <w:r>
        <w:rPr>
          <w:rFonts w:ascii="Arial" w:cs="Arial" w:eastAsia="Arial" w:hAnsi="Arial"/>
          <w:sz w:val="22"/>
          <w:szCs w:val="22"/>
        </w:rPr>
        <w:t xml:space="preserve">The Board should consider registering this ESOP Plan with MISA as part of Company governing documents. Saudi-licensed counsel must advise on whether MISA notification or approval is required for the chosen award structure.</w:t>
      </w:r>
    </w:p>
    <w:p>
      <w:r>
        <w:br w:type="page"/>
      </w:r>
    </w:p>
    <w:p>
      <w:pPr>
        <w:pStyle w:val="Heading1"/>
        <w:spacing w:after="120" w:before="300"/>
      </w:pPr>
      <w:r>
        <w:rPr>
          <w:rFonts w:ascii="Arial" w:cs="Arial" w:eastAsia="Arial" w:hAnsi="Arial"/>
          <w:b/>
          <w:bCs/>
          <w:color w:val="2D6E8A"/>
          <w:sz w:val="28"/>
          <w:szCs w:val="28"/>
        </w:rPr>
        <w:t xml:space="preserve">Appendix F — ESOP Pool Dilution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 %</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Pre-Investment (Founder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Post-Seed Round (3M SAR at 25M 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Post-Series A (50-80M SAR pre-money)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Fully Diluted at IPO (illustrative)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w:t>
            </w:r>
          </w:p>
        </w:tc>
      </w:tr>
    </w:tbl>
    <w:p>
      <w:pPr>
        <w:spacing w:after="60" w:before="60"/>
      </w:pPr>
      <w:r>
        <w:rPr>
          <w:rFonts w:ascii="Arial" w:cs="Arial" w:eastAsia="Arial" w:hAnsi="Arial"/>
          <w:sz w:val="22"/>
          <w:szCs w:val="22"/>
        </w:rPr>
        <w:t xml:space="preserve">Actual percentages depend on final round size, valuation cap conversion, and ESOP grants issued. See Cap Table.xlsx for live calculations.</w:t>
      </w:r>
    </w:p>
    <w:p>
      <w:r>
        <w:br w:type="page"/>
      </w:r>
    </w:p>
    <w:p>
      <w:pPr>
        <w:pStyle w:val="Heading1"/>
        <w:spacing w:after="120" w:before="300"/>
      </w:pPr>
      <w:r>
        <w:rPr>
          <w:rFonts w:ascii="Arial" w:cs="Arial" w:eastAsia="Arial" w:hAnsi="Arial"/>
          <w:b/>
          <w:bCs/>
          <w:color w:val="2D6E8A"/>
          <w:sz w:val="28"/>
          <w:szCs w:val="28"/>
        </w:rPr>
        <w:t xml:space="preserve">Appendix G — ESOP Administration Calendar</w:t>
      </w:r>
    </w:p>
    <w:p>
      <w:pPr>
        <w:spacing w:after="60" w:before="60"/>
      </w:pPr>
      <w:r>
        <w:rPr>
          <w:rFonts w:ascii="Arial" w:cs="Arial" w:eastAsia="Arial" w:hAnsi="Arial"/>
          <w:sz w:val="22"/>
          <w:szCs w:val="22"/>
        </w:rPr>
        <w:t xml:space="preserve">The Board should follow this annual ESOP administration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Timing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Action</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Q1 annually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ESOP pool balance; confirm outstanding awards in ESOP Register; update FMV via Board valuation resolution</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Each new hire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Prepare and execute grant letter within 30 days of employment start; update ESOP Register</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Each termination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Determine Good/Bad Leaver status; notify grantee of post-termination window; update ESOP Register</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Change of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Determine acceleration trigger applicability for each grantee; notify grantees within 5 business days of closing</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Annual tax cycle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Coordinate with ZATCA adviser on any withholding obligations for non-Saudi grantees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10-year anniversary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Plan term extension or replacement; Shareholder Supermajority approval required for material amendments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2026-05-05T01:44:59.699Z</dcterms:created>
  <dcterms:modified xsi:type="dcterms:W3CDTF">2026-05-05T01:44:59.699Z</dcterms:modified>
</cp:coreProperties>
</file>

<file path=docProps/custom.xml><?xml version="1.0" encoding="utf-8"?>
<Properties xmlns="http://schemas.openxmlformats.org/officeDocument/2006/custom-properties" xmlns:vt="http://schemas.openxmlformats.org/officeDocument/2006/docPropsVTypes"/>
</file>