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IP Assignment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Intellectual Property Assignment Agreement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Company (Assignee):</w:t>
      </w:r>
    </w:p>
    <w:p>
      <w:pPr>
        <w:pStyle w:val="ListParagraph"/>
        <w:numPr>
          <w:ilvl w:val="0"/>
          <w:numId w:val="2"/>
        </w:numPr>
        <w:spacing w:after="40" w:before="40"/>
      </w:pPr>
      <w:r>
        <w:rPr>
          <w:rFonts w:ascii="Arial" w:cs="Arial" w:eastAsia="Arial" w:hAnsi="Arial"/>
          <w:sz w:val="22"/>
          <w:szCs w:val="22"/>
        </w:rPr>
        <w:t xml:space="preserve">Legal Name: BDA Company International (شركة بدع الدولية)</w:t>
      </w:r>
    </w:p>
    <w:p>
      <w:pPr>
        <w:pStyle w:val="ListParagraph"/>
        <w:numPr>
          <w:ilvl w:val="0"/>
          <w:numId w:val="2"/>
        </w:numPr>
        <w:spacing w:after="40" w:before="40"/>
      </w:pPr>
      <w:r>
        <w:rPr>
          <w:rFonts w:ascii="Arial" w:cs="Arial" w:eastAsia="Arial" w:hAnsi="Arial"/>
          <w:sz w:val="22"/>
          <w:szCs w:val="22"/>
        </w:rPr>
        <w:t xml:space="preserve">CR No.: 7030976893</w:t>
      </w:r>
    </w:p>
    <w:p>
      <w:pPr>
        <w:pStyle w:val="ListParagraph"/>
        <w:numPr>
          <w:ilvl w:val="0"/>
          <w:numId w:val="2"/>
        </w:numPr>
        <w:spacing w:after="40" w:before="40"/>
      </w:pPr>
      <w:r>
        <w:rPr>
          <w:rFonts w:ascii="Arial" w:cs="Arial" w:eastAsia="Arial" w:hAnsi="Arial"/>
          <w:sz w:val="22"/>
          <w:szCs w:val="22"/>
        </w:rPr>
        <w:t xml:space="preserve">Registered Address: Riyadh, Al Baqqal 12965, Kingdom of Saudi Arabia,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spacing w:after="80" w:before="80"/>
      </w:pPr>
      <w:r>
        <w:t xml:space="preserve"/>
      </w:r>
    </w:p>
    <w:p>
      <w:pPr>
        <w:spacing w:after="60" w:before="60"/>
      </w:pPr>
      <w:r>
        <w:rPr>
          <w:rFonts w:ascii="Arial" w:cs="Arial" w:eastAsia="Arial" w:hAnsi="Arial"/>
          <w:b/>
          <w:bCs/>
          <w:sz w:val="22"/>
          <w:szCs w:val="22"/>
        </w:rPr>
        <w:t xml:space="preserve">Assignor (Employee / Contractor):</w:t>
      </w:r>
    </w:p>
    <w:p>
      <w:pPr>
        <w:pStyle w:val="ListParagraph"/>
        <w:numPr>
          <w:ilvl w:val="0"/>
          <w:numId w:val="2"/>
        </w:numPr>
        <w:spacing w:after="40" w:before="40"/>
      </w:pPr>
      <w:r>
        <w:rPr>
          <w:rFonts w:ascii="Arial" w:cs="Arial" w:eastAsia="Arial" w:hAnsi="Arial"/>
          <w:sz w:val="22"/>
          <w:szCs w:val="22"/>
        </w:rPr>
        <w:t xml:space="preserve">Full Name: [ASSIGNOR_FULL_NAME]</w:t>
      </w:r>
    </w:p>
    <w:p>
      <w:pPr>
        <w:pStyle w:val="ListParagraph"/>
        <w:numPr>
          <w:ilvl w:val="0"/>
          <w:numId w:val="2"/>
        </w:numPr>
        <w:spacing w:after="40" w:before="40"/>
      </w:pPr>
      <w:r>
        <w:rPr>
          <w:rFonts w:ascii="Arial" w:cs="Arial" w:eastAsia="Arial" w:hAnsi="Arial"/>
          <w:sz w:val="22"/>
          <w:szCs w:val="22"/>
        </w:rPr>
        <w:t xml:space="preserve">National ID / Iqama / Passport No.: [ASSIGNOR_ID]</w:t>
      </w:r>
    </w:p>
    <w:p>
      <w:pPr>
        <w:pStyle w:val="ListParagraph"/>
        <w:numPr>
          <w:ilvl w:val="0"/>
          <w:numId w:val="2"/>
        </w:numPr>
        <w:spacing w:after="40" w:before="40"/>
      </w:pPr>
      <w:r>
        <w:rPr>
          <w:rFonts w:ascii="Arial" w:cs="Arial" w:eastAsia="Arial" w:hAnsi="Arial"/>
          <w:sz w:val="22"/>
          <w:szCs w:val="22"/>
        </w:rPr>
        <w:t xml:space="preserve">Address: [ASSIGNOR_ADDRESS]</w:t>
      </w:r>
    </w:p>
    <w:p>
      <w:pPr>
        <w:pStyle w:val="ListParagraph"/>
        <w:numPr>
          <w:ilvl w:val="0"/>
          <w:numId w:val="2"/>
        </w:numPr>
        <w:spacing w:after="40" w:before="40"/>
      </w:pPr>
      <w:r>
        <w:rPr>
          <w:rFonts w:ascii="Arial" w:cs="Arial" w:eastAsia="Arial" w:hAnsi="Arial"/>
          <w:sz w:val="22"/>
          <w:szCs w:val="22"/>
        </w:rPr>
        <w:t xml:space="preserve">Engagement Type: [FULL-TIME EMPLOYEE / PART-TIME EMPLOYEE / INDEPENDENT CONTRACTOR]</w:t>
      </w:r>
    </w:p>
    <w:p>
      <w:pPr>
        <w:pStyle w:val="ListParagraph"/>
        <w:numPr>
          <w:ilvl w:val="0"/>
          <w:numId w:val="2"/>
        </w:numPr>
        <w:spacing w:after="40" w:before="40"/>
      </w:pPr>
      <w:r>
        <w:rPr>
          <w:rFonts w:ascii="Arial" w:cs="Arial" w:eastAsia="Arial" w:hAnsi="Arial"/>
          <w:sz w:val="22"/>
          <w:szCs w:val="22"/>
        </w:rPr>
        <w:t xml:space="preserve">Start Date: [START_DATE]</w:t>
      </w:r>
    </w:p>
    <w:p>
      <w:pPr>
        <w:pStyle w:val="ListParagraph"/>
        <w:numPr>
          <w:ilvl w:val="0"/>
          <w:numId w:val="2"/>
        </w:numPr>
        <w:spacing w:after="40" w:before="40"/>
      </w:pPr>
      <w:r>
        <w:rPr>
          <w:rFonts w:ascii="Arial" w:cs="Arial" w:eastAsia="Arial" w:hAnsi="Arial"/>
          <w:sz w:val="22"/>
          <w:szCs w:val="22"/>
        </w:rPr>
        <w:t xml:space="preserve">Role / Title: [ASSIGNOR_TITLE]</w:t>
      </w:r>
    </w:p>
    <w:p>
      <w:r>
        <w:br w:type="page"/>
      </w:r>
    </w:p>
    <w:p>
      <w:pPr>
        <w:pStyle w:val="Heading1"/>
        <w:spacing w:after="120" w:before="300"/>
      </w:pPr>
      <w:r>
        <w:rPr>
          <w:rFonts w:ascii="Arial" w:cs="Arial" w:eastAsia="Arial" w:hAnsi="Arial"/>
          <w:b/>
          <w:bCs/>
          <w:color w:val="2D6E8A"/>
          <w:sz w:val="28"/>
          <w:szCs w:val="28"/>
        </w:rPr>
        <w:t xml:space="preserve">2. Background</w:t>
      </w:r>
    </w:p>
    <w:p>
      <w:pPr>
        <w:spacing w:after="60" w:before="60"/>
      </w:pPr>
      <w:r>
        <w:rPr>
          <w:rFonts w:ascii="Arial" w:cs="Arial" w:eastAsia="Arial" w:hAnsi="Arial"/>
          <w:sz w:val="22"/>
          <w:szCs w:val="22"/>
        </w:rPr>
        <w:t xml:space="preserve">The Assignor is engaged by Fly GACA to provide services related to [DESCRIPTION_OF_SERVICES]. In the course of such services, the Assignor may create, develop, or contribute to Intellectual Property ("IP") of commercial value to the Company. All such IP is owned by the Company from the moment of creation as set out in this Agreement.</w:t>
      </w:r>
    </w:p>
    <w:p>
      <w:r>
        <w:br w:type="page"/>
      </w:r>
    </w:p>
    <w:p>
      <w:pPr>
        <w:pStyle w:val="Heading1"/>
        <w:spacing w:after="120" w:before="300"/>
      </w:pPr>
      <w:r>
        <w:rPr>
          <w:rFonts w:ascii="Arial" w:cs="Arial" w:eastAsia="Arial" w:hAnsi="Arial"/>
          <w:b/>
          <w:bCs/>
          <w:color w:val="2D6E8A"/>
          <w:sz w:val="28"/>
          <w:szCs w:val="28"/>
        </w:rPr>
        <w:t xml:space="preserve">3. Definitions</w:t>
      </w:r>
    </w:p>
    <w:p>
      <w:pPr>
        <w:spacing w:after="60" w:before="60"/>
      </w:pPr>
      <w:r>
        <w:rPr>
          <w:rFonts w:ascii="Arial" w:cs="Arial" w:eastAsia="Arial" w:hAnsi="Arial"/>
          <w:sz w:val="22"/>
          <w:szCs w:val="22"/>
        </w:rPr>
        <w:t xml:space="preserve">"Intellectual Property" or "IP" means all of the following, whether or not protectable under applicable law:</w:t>
      </w:r>
    </w:p>
    <w:p>
      <w:pPr>
        <w:pStyle w:val="ListParagraph"/>
        <w:numPr>
          <w:ilvl w:val="0"/>
          <w:numId w:val="2"/>
        </w:numPr>
        <w:spacing w:after="40" w:before="40"/>
      </w:pPr>
      <w:r>
        <w:rPr>
          <w:rFonts w:ascii="Arial" w:cs="Arial" w:eastAsia="Arial" w:hAnsi="Arial"/>
          <w:sz w:val="22"/>
          <w:szCs w:val="22"/>
        </w:rPr>
        <w:t xml:space="preserve">Software, source code, object code, algorithms, scripts, APIs, databases, and data structures</w:t>
      </w:r>
    </w:p>
    <w:p>
      <w:pPr>
        <w:pStyle w:val="ListParagraph"/>
        <w:numPr>
          <w:ilvl w:val="0"/>
          <w:numId w:val="2"/>
        </w:numPr>
        <w:spacing w:after="40" w:before="40"/>
      </w:pPr>
      <w:r>
        <w:rPr>
          <w:rFonts w:ascii="Arial" w:cs="Arial" w:eastAsia="Arial" w:hAnsi="Arial"/>
          <w:sz w:val="22"/>
          <w:szCs w:val="22"/>
        </w:rPr>
        <w:t xml:space="preserve">AI models, training data, prompts, fine-tuning outputs, and inference pipeline code</w:t>
      </w:r>
    </w:p>
    <w:p>
      <w:pPr>
        <w:pStyle w:val="ListParagraph"/>
        <w:numPr>
          <w:ilvl w:val="0"/>
          <w:numId w:val="2"/>
        </w:numPr>
        <w:spacing w:after="40" w:before="40"/>
      </w:pPr>
      <w:r>
        <w:rPr>
          <w:rFonts w:ascii="Arial" w:cs="Arial" w:eastAsia="Arial" w:hAnsi="Arial"/>
          <w:sz w:val="22"/>
          <w:szCs w:val="22"/>
        </w:rPr>
        <w:t xml:space="preserve">Copyrightable works including written content, documentation, course materials, exam questions, and instructional designs</w:t>
      </w:r>
    </w:p>
    <w:p>
      <w:pPr>
        <w:pStyle w:val="ListParagraph"/>
        <w:numPr>
          <w:ilvl w:val="0"/>
          <w:numId w:val="2"/>
        </w:numPr>
        <w:spacing w:after="40" w:before="40"/>
      </w:pPr>
      <w:r>
        <w:rPr>
          <w:rFonts w:ascii="Arial" w:cs="Arial" w:eastAsia="Arial" w:hAnsi="Arial"/>
          <w:sz w:val="22"/>
          <w:szCs w:val="22"/>
        </w:rPr>
        <w:t xml:space="preserve">Inventions, discoveries, improvements, and innovations (patentable or not)</w:t>
      </w:r>
    </w:p>
    <w:p>
      <w:pPr>
        <w:pStyle w:val="ListParagraph"/>
        <w:numPr>
          <w:ilvl w:val="0"/>
          <w:numId w:val="2"/>
        </w:numPr>
        <w:spacing w:after="40" w:before="40"/>
      </w:pPr>
      <w:r>
        <w:rPr>
          <w:rFonts w:ascii="Arial" w:cs="Arial" w:eastAsia="Arial" w:hAnsi="Arial"/>
          <w:sz w:val="22"/>
          <w:szCs w:val="22"/>
        </w:rPr>
        <w:t xml:space="preserve">Trade secrets, know-how, processes, and methodologies</w:t>
      </w:r>
    </w:p>
    <w:p>
      <w:pPr>
        <w:pStyle w:val="ListParagraph"/>
        <w:numPr>
          <w:ilvl w:val="0"/>
          <w:numId w:val="2"/>
        </w:numPr>
        <w:spacing w:after="40" w:before="40"/>
      </w:pPr>
      <w:r>
        <w:rPr>
          <w:rFonts w:ascii="Arial" w:cs="Arial" w:eastAsia="Arial" w:hAnsi="Arial"/>
          <w:sz w:val="22"/>
          <w:szCs w:val="22"/>
        </w:rPr>
        <w:t xml:space="preserve">Designs, user interfaces, graphics, brand assets, and visual content</w:t>
      </w:r>
    </w:p>
    <w:p>
      <w:pPr>
        <w:pStyle w:val="ListParagraph"/>
        <w:numPr>
          <w:ilvl w:val="0"/>
          <w:numId w:val="2"/>
        </w:numPr>
        <w:spacing w:after="40" w:before="40"/>
      </w:pPr>
      <w:r>
        <w:rPr>
          <w:rFonts w:ascii="Arial" w:cs="Arial" w:eastAsia="Arial" w:hAnsi="Arial"/>
          <w:sz w:val="22"/>
          <w:szCs w:val="22"/>
        </w:rPr>
        <w:t xml:space="preserve">Trademarks, service marks, logos, domain names (including flygaca.com), and trade dress</w:t>
      </w:r>
    </w:p>
    <w:p>
      <w:pPr>
        <w:pStyle w:val="ListParagraph"/>
        <w:numPr>
          <w:ilvl w:val="0"/>
          <w:numId w:val="2"/>
        </w:numPr>
        <w:spacing w:after="40" w:before="40"/>
      </w:pPr>
      <w:r>
        <w:rPr>
          <w:rFonts w:ascii="Arial" w:cs="Arial" w:eastAsia="Arial" w:hAnsi="Arial"/>
          <w:sz w:val="22"/>
          <w:szCs w:val="22"/>
        </w:rPr>
        <w:t xml:space="preserve">Data compilations, datasets, and derivative works</w:t>
      </w:r>
    </w:p>
    <w:p>
      <w:pPr>
        <w:spacing w:after="80" w:before="80"/>
      </w:pPr>
      <w:r>
        <w:t xml:space="preserve"/>
      </w:r>
    </w:p>
    <w:p>
      <w:pPr>
        <w:spacing w:after="60" w:before="60"/>
      </w:pPr>
      <w:r>
        <w:rPr>
          <w:rFonts w:ascii="Arial" w:cs="Arial" w:eastAsia="Arial" w:hAnsi="Arial"/>
          <w:sz w:val="22"/>
          <w:szCs w:val="22"/>
        </w:rPr>
        <w:t xml:space="preserve">"Work Product" means all IP created, developed, conceived, discovered, or reduced to practice by the Assignor: (a) during the period of engagement; (b) using Company resources, equipment, data, or Confidential Information; or (c) relating to the Company current or reasonably anticipated business or R&amp;D activities.</w:t>
      </w:r>
    </w:p>
    <w:p>
      <w:r>
        <w:br w:type="page"/>
      </w:r>
    </w:p>
    <w:p>
      <w:pPr>
        <w:pStyle w:val="Heading1"/>
        <w:spacing w:after="120" w:before="300"/>
      </w:pPr>
      <w:r>
        <w:rPr>
          <w:rFonts w:ascii="Arial" w:cs="Arial" w:eastAsia="Arial" w:hAnsi="Arial"/>
          <w:b/>
          <w:bCs/>
          <w:color w:val="2D6E8A"/>
          <w:sz w:val="28"/>
          <w:szCs w:val="28"/>
        </w:rPr>
        <w:t xml:space="preserve">4. Assignment of Work Product</w:t>
      </w:r>
    </w:p>
    <w:p>
      <w:pPr>
        <w:pStyle w:val="Heading2"/>
        <w:spacing w:after="80" w:before="200"/>
      </w:pPr>
      <w:r>
        <w:rPr>
          <w:rFonts w:ascii="Arial" w:cs="Arial" w:eastAsia="Arial" w:hAnsi="Arial"/>
          <w:b/>
          <w:bCs/>
          <w:color w:val="0A0E12"/>
          <w:sz w:val="24"/>
          <w:szCs w:val="24"/>
        </w:rPr>
        <w:t xml:space="preserve">4.1 Automatic Assignment</w:t>
      </w:r>
    </w:p>
    <w:p>
      <w:pPr>
        <w:spacing w:after="60" w:before="60"/>
      </w:pPr>
      <w:r>
        <w:rPr>
          <w:rFonts w:ascii="Arial" w:cs="Arial" w:eastAsia="Arial" w:hAnsi="Arial"/>
          <w:sz w:val="22"/>
          <w:szCs w:val="22"/>
        </w:rPr>
        <w:t xml:space="preserve">The Assignor irrevocably assigns, transfers, and conveys to the Company all right, title, and interest in all Work Product, effective as of the date of creation, including all associated IP rights worldwide, in perpetuity. This assignment is automatic and requires no further act of transfer.</w:t>
      </w:r>
    </w:p>
    <w:p>
      <w:pPr>
        <w:pStyle w:val="Heading2"/>
        <w:spacing w:after="80" w:before="200"/>
      </w:pPr>
      <w:r>
        <w:rPr>
          <w:rFonts w:ascii="Arial" w:cs="Arial" w:eastAsia="Arial" w:hAnsi="Arial"/>
          <w:b/>
          <w:bCs/>
          <w:color w:val="0A0E12"/>
          <w:sz w:val="24"/>
          <w:szCs w:val="24"/>
        </w:rPr>
        <w:t xml:space="preserve">4.2 Platform-Specific Assignments</w:t>
      </w:r>
    </w:p>
    <w:p>
      <w:pPr>
        <w:pStyle w:val="ListParagraph"/>
        <w:numPr>
          <w:ilvl w:val="0"/>
          <w:numId w:val="2"/>
        </w:numPr>
        <w:spacing w:after="40" w:before="40"/>
      </w:pPr>
      <w:r>
        <w:rPr>
          <w:rFonts w:ascii="Arial" w:cs="Arial" w:eastAsia="Arial" w:hAnsi="Arial"/>
          <w:sz w:val="22"/>
          <w:szCs w:val="22"/>
        </w:rPr>
        <w:t xml:space="preserve">All software components, libraries, and code contributed to the Fly GACA PWA and backend</w:t>
      </w:r>
    </w:p>
    <w:p>
      <w:pPr>
        <w:pStyle w:val="ListParagraph"/>
        <w:numPr>
          <w:ilvl w:val="0"/>
          <w:numId w:val="2"/>
        </w:numPr>
        <w:spacing w:after="40" w:before="40"/>
      </w:pPr>
      <w:r>
        <w:rPr>
          <w:rFonts w:ascii="Arial" w:cs="Arial" w:eastAsia="Arial" w:hAnsi="Arial"/>
          <w:sz w:val="22"/>
          <w:szCs w:val="22"/>
        </w:rPr>
        <w:t xml:space="preserve">All GACAR library ingestion, chunking, BM25 indexing, and RAG pipeline code and data</w:t>
      </w:r>
    </w:p>
    <w:p>
      <w:pPr>
        <w:pStyle w:val="ListParagraph"/>
        <w:numPr>
          <w:ilvl w:val="0"/>
          <w:numId w:val="2"/>
        </w:numPr>
        <w:spacing w:after="40" w:before="40"/>
      </w:pPr>
      <w:r>
        <w:rPr>
          <w:rFonts w:ascii="Arial" w:cs="Arial" w:eastAsia="Arial" w:hAnsi="Arial"/>
          <w:sz w:val="22"/>
          <w:szCs w:val="22"/>
        </w:rPr>
        <w:t xml:space="preserve">All contributions to the Captain Adel AI persona: system prompts, character design, voice patterns, and evaluation frameworks</w:t>
      </w:r>
    </w:p>
    <w:p>
      <w:pPr>
        <w:pStyle w:val="ListParagraph"/>
        <w:numPr>
          <w:ilvl w:val="0"/>
          <w:numId w:val="2"/>
        </w:numPr>
        <w:spacing w:after="40" w:before="40"/>
      </w:pPr>
      <w:r>
        <w:rPr>
          <w:rFonts w:ascii="Arial" w:cs="Arial" w:eastAsia="Arial" w:hAnsi="Arial"/>
          <w:sz w:val="22"/>
          <w:szCs w:val="22"/>
        </w:rPr>
        <w:t xml:space="preserve">All aviation regulatory content, exam questions, rationale, explanations, and study materials</w:t>
      </w:r>
    </w:p>
    <w:p>
      <w:pPr>
        <w:pStyle w:val="ListParagraph"/>
        <w:numPr>
          <w:ilvl w:val="0"/>
          <w:numId w:val="2"/>
        </w:numPr>
        <w:spacing w:after="40" w:before="40"/>
      </w:pPr>
      <w:r>
        <w:rPr>
          <w:rFonts w:ascii="Arial" w:cs="Arial" w:eastAsia="Arial" w:hAnsi="Arial"/>
          <w:sz w:val="22"/>
          <w:szCs w:val="22"/>
        </w:rPr>
        <w:t xml:space="preserve">All logbook, currency tracker, METAR integration, airport directory, and calculator code</w:t>
      </w:r>
    </w:p>
    <w:p>
      <w:pPr>
        <w:pStyle w:val="ListParagraph"/>
        <w:numPr>
          <w:ilvl w:val="0"/>
          <w:numId w:val="2"/>
        </w:numPr>
        <w:spacing w:after="40" w:before="40"/>
      </w:pPr>
      <w:r>
        <w:rPr>
          <w:rFonts w:ascii="Arial" w:cs="Arial" w:eastAsia="Arial" w:hAnsi="Arial"/>
          <w:sz w:val="22"/>
          <w:szCs w:val="22"/>
        </w:rPr>
        <w:t xml:space="preserve">All marketing and investor materials created in the course of engagement</w:t>
      </w:r>
    </w:p>
    <w:p>
      <w:pPr>
        <w:pStyle w:val="Heading2"/>
        <w:spacing w:after="80" w:before="200"/>
      </w:pPr>
      <w:r>
        <w:rPr>
          <w:rFonts w:ascii="Arial" w:cs="Arial" w:eastAsia="Arial" w:hAnsi="Arial"/>
          <w:b/>
          <w:bCs/>
          <w:color w:val="0A0E12"/>
          <w:sz w:val="24"/>
          <w:szCs w:val="24"/>
        </w:rPr>
        <w:t xml:space="preserve">4.3 Captain Adel Persona and Likeness</w:t>
      </w:r>
    </w:p>
    <w:p>
      <w:pPr>
        <w:spacing w:after="60" w:before="60"/>
      </w:pPr>
      <w:r>
        <w:rPr>
          <w:rFonts w:ascii="Arial" w:cs="Arial" w:eastAsia="Arial" w:hAnsi="Arial"/>
          <w:sz w:val="22"/>
          <w:szCs w:val="22"/>
        </w:rPr>
        <w:t xml:space="preserve">The Assignor specifically acknowledges that the "Captain Adel" persona — including the name, character art, voice design, personality traits, system prompt architecture, and any likeness or derivative created during the engagement — is Work Product owned exclusively by Fly GACA. The Assignor waives all moral rights in the Captain Adel persona to the fullest extent permitted by Saudi law.</w:t>
      </w:r>
    </w:p>
    <w:p>
      <w:r>
        <w:br w:type="page"/>
      </w:r>
    </w:p>
    <w:p>
      <w:pPr>
        <w:pStyle w:val="Heading1"/>
        <w:spacing w:after="120" w:before="300"/>
      </w:pPr>
      <w:r>
        <w:rPr>
          <w:rFonts w:ascii="Arial" w:cs="Arial" w:eastAsia="Arial" w:hAnsi="Arial"/>
          <w:b/>
          <w:bCs/>
          <w:color w:val="2D6E8A"/>
          <w:sz w:val="28"/>
          <w:szCs w:val="28"/>
        </w:rPr>
        <w:t xml:space="preserve">5. Pre-Existing Intellectual Property (Background IP)</w:t>
      </w:r>
    </w:p>
    <w:p>
      <w:pPr>
        <w:spacing w:after="60" w:before="60"/>
      </w:pPr>
      <w:r>
        <w:rPr>
          <w:rFonts w:ascii="Arial" w:cs="Arial" w:eastAsia="Arial" w:hAnsi="Arial"/>
          <w:sz w:val="22"/>
          <w:szCs w:val="22"/>
        </w:rPr>
        <w:t xml:space="preserve">The Assignor retains ownership of IP created before the engagement start date listed in Schedule A ("Background IP"). The Assignor grants the Company a non-exclusive, royalty-free, irrevocable, worldwide license to use Background IP to the extent necessary to exploit the Work Product.</w:t>
      </w:r>
    </w:p>
    <w:p>
      <w:pPr>
        <w:spacing w:after="60" w:before="60"/>
      </w:pPr>
      <w:r>
        <w:rPr>
          <w:rFonts w:ascii="Arial" w:cs="Arial" w:eastAsia="Arial" w:hAnsi="Arial"/>
          <w:sz w:val="22"/>
          <w:szCs w:val="22"/>
        </w:rPr>
        <w:t xml:space="preserve">IP not listed in Schedule A is presumed to be Work Product subject to assignment under Section 4. Schedule A is a complete and accurate list of all pre-existing IP the Assignor intends to retain.</w:t>
      </w:r>
    </w:p>
    <w:p>
      <w:r>
        <w:br w:type="page"/>
      </w:r>
    </w:p>
    <w:p>
      <w:pPr>
        <w:pStyle w:val="Heading1"/>
        <w:spacing w:after="120" w:before="300"/>
      </w:pPr>
      <w:r>
        <w:rPr>
          <w:rFonts w:ascii="Arial" w:cs="Arial" w:eastAsia="Arial" w:hAnsi="Arial"/>
          <w:b/>
          <w:bCs/>
          <w:color w:val="2D6E8A"/>
          <w:sz w:val="28"/>
          <w:szCs w:val="28"/>
        </w:rPr>
        <w:t xml:space="preserve">6. Moral Rights Waiver</w:t>
      </w:r>
    </w:p>
    <w:p>
      <w:pPr>
        <w:spacing w:after="60" w:before="60"/>
      </w:pPr>
      <w:r>
        <w:rPr>
          <w:rFonts w:ascii="Arial" w:cs="Arial" w:eastAsia="Arial" w:hAnsi="Arial"/>
          <w:sz w:val="22"/>
          <w:szCs w:val="22"/>
        </w:rPr>
        <w:t xml:space="preserve">To the fullest extent permitted by Saudi law, the Assignor waives all moral rights (including rights of attribution, integrity, and disclosure) in and to the Work Product. Where such rights cannot be waived, the Assignor consents to any use, modification, adaptation, or exploitation by the Company or its licensees without attribution.</w:t>
      </w:r>
    </w:p>
    <w:p>
      <w:r>
        <w:br w:type="page"/>
      </w:r>
    </w:p>
    <w:p>
      <w:pPr>
        <w:pStyle w:val="Heading1"/>
        <w:spacing w:after="120" w:before="300"/>
      </w:pPr>
      <w:r>
        <w:rPr>
          <w:rFonts w:ascii="Arial" w:cs="Arial" w:eastAsia="Arial" w:hAnsi="Arial"/>
          <w:b/>
          <w:bCs/>
          <w:color w:val="2D6E8A"/>
          <w:sz w:val="28"/>
          <w:szCs w:val="28"/>
        </w:rPr>
        <w:t xml:space="preserve">7. Assistance with Registrations</w:t>
      </w:r>
    </w:p>
    <w:p>
      <w:pPr>
        <w:spacing w:after="60" w:before="60"/>
      </w:pPr>
      <w:r>
        <w:rPr>
          <w:rFonts w:ascii="Arial" w:cs="Arial" w:eastAsia="Arial" w:hAnsi="Arial"/>
          <w:sz w:val="22"/>
          <w:szCs w:val="22"/>
        </w:rPr>
        <w:t xml:space="preserve">The Assignor agrees to provide all reasonable assistance requested by the Company, at Company expense, to:</w:t>
      </w:r>
    </w:p>
    <w:p>
      <w:pPr>
        <w:pStyle w:val="ListParagraph"/>
        <w:numPr>
          <w:ilvl w:val="0"/>
          <w:numId w:val="2"/>
        </w:numPr>
        <w:spacing w:after="40" w:before="40"/>
      </w:pPr>
      <w:r>
        <w:rPr>
          <w:rFonts w:ascii="Arial" w:cs="Arial" w:eastAsia="Arial" w:hAnsi="Arial"/>
          <w:sz w:val="22"/>
          <w:szCs w:val="22"/>
        </w:rPr>
        <w:t xml:space="preserve">Apply for, prosecute, and maintain patents, trademarks, copyrights, and other IP registrations related to Work Product in any jurisdiction</w:t>
      </w:r>
    </w:p>
    <w:p>
      <w:pPr>
        <w:pStyle w:val="ListParagraph"/>
        <w:numPr>
          <w:ilvl w:val="0"/>
          <w:numId w:val="2"/>
        </w:numPr>
        <w:spacing w:after="40" w:before="40"/>
      </w:pPr>
      <w:r>
        <w:rPr>
          <w:rFonts w:ascii="Arial" w:cs="Arial" w:eastAsia="Arial" w:hAnsi="Arial"/>
          <w:sz w:val="22"/>
          <w:szCs w:val="22"/>
        </w:rPr>
        <w:t xml:space="preserve">Execute all documents, assignments, declarations, and applications necessary to perfect the Company ownership</w:t>
      </w:r>
    </w:p>
    <w:p>
      <w:pPr>
        <w:pStyle w:val="ListParagraph"/>
        <w:numPr>
          <w:ilvl w:val="0"/>
          <w:numId w:val="2"/>
        </w:numPr>
        <w:spacing w:after="40" w:before="40"/>
      </w:pPr>
      <w:r>
        <w:rPr>
          <w:rFonts w:ascii="Arial" w:cs="Arial" w:eastAsia="Arial" w:hAnsi="Arial"/>
          <w:sz w:val="22"/>
          <w:szCs w:val="22"/>
        </w:rPr>
        <w:t xml:space="preserve">Cooperate in any legal proceedings to establish, defend, or enforce the Company IP rights</w:t>
      </w:r>
    </w:p>
    <w:p>
      <w:pPr>
        <w:spacing w:after="80" w:before="80"/>
      </w:pPr>
      <w:r>
        <w:t xml:space="preserve"/>
      </w:r>
    </w:p>
    <w:p>
      <w:pPr>
        <w:spacing w:after="60" w:before="60"/>
      </w:pPr>
      <w:r>
        <w:rPr>
          <w:rFonts w:ascii="Arial" w:cs="Arial" w:eastAsia="Arial" w:hAnsi="Arial"/>
          <w:sz w:val="22"/>
          <w:szCs w:val="22"/>
        </w:rPr>
        <w:t xml:space="preserve">If the Assignor is unavailable, the Assignor appoints the Company (and authorized officers) as attorney-in-fact to execute such documents — this appointment is irrevocable and coupled with an interest.</w:t>
      </w:r>
    </w:p>
    <w:p>
      <w:r>
        <w:br w:type="page"/>
      </w:r>
    </w:p>
    <w:p>
      <w:pPr>
        <w:pStyle w:val="Heading1"/>
        <w:spacing w:after="120" w:before="300"/>
      </w:pPr>
      <w:r>
        <w:rPr>
          <w:rFonts w:ascii="Arial" w:cs="Arial" w:eastAsia="Arial" w:hAnsi="Arial"/>
          <w:b/>
          <w:bCs/>
          <w:color w:val="2D6E8A"/>
          <w:sz w:val="28"/>
          <w:szCs w:val="28"/>
        </w:rPr>
        <w:t xml:space="preserve">8. No-Conflict Warranty</w:t>
      </w:r>
    </w:p>
    <w:p>
      <w:pPr>
        <w:spacing w:after="60" w:before="60"/>
      </w:pPr>
      <w:r>
        <w:rPr>
          <w:rFonts w:ascii="Arial" w:cs="Arial" w:eastAsia="Arial" w:hAnsi="Arial"/>
          <w:sz w:val="22"/>
          <w:szCs w:val="22"/>
        </w:rPr>
        <w:t xml:space="preserve">The Assignor represents and warrants that:</w:t>
      </w:r>
    </w:p>
    <w:p>
      <w:pPr>
        <w:pStyle w:val="ListParagraph"/>
        <w:numPr>
          <w:ilvl w:val="0"/>
          <w:numId w:val="2"/>
        </w:numPr>
        <w:spacing w:after="40" w:before="40"/>
      </w:pPr>
      <w:r>
        <w:rPr>
          <w:rFonts w:ascii="Arial" w:cs="Arial" w:eastAsia="Arial" w:hAnsi="Arial"/>
          <w:sz w:val="22"/>
          <w:szCs w:val="22"/>
        </w:rPr>
        <w:t xml:space="preserve">The Assignor is free to enter into this Agreement with no conflicting obligations to any third party</w:t>
      </w:r>
    </w:p>
    <w:p>
      <w:pPr>
        <w:pStyle w:val="ListParagraph"/>
        <w:numPr>
          <w:ilvl w:val="0"/>
          <w:numId w:val="2"/>
        </w:numPr>
        <w:spacing w:after="40" w:before="40"/>
      </w:pPr>
      <w:r>
        <w:rPr>
          <w:rFonts w:ascii="Arial" w:cs="Arial" w:eastAsia="Arial" w:hAnsi="Arial"/>
          <w:sz w:val="22"/>
          <w:szCs w:val="22"/>
        </w:rPr>
        <w:t xml:space="preserve">No Work Product will infringe any third-party IP right (patents, copyrights, trademarks, trade secrets, or moral rights)</w:t>
      </w:r>
    </w:p>
    <w:p>
      <w:pPr>
        <w:pStyle w:val="ListParagraph"/>
        <w:numPr>
          <w:ilvl w:val="0"/>
          <w:numId w:val="2"/>
        </w:numPr>
        <w:spacing w:after="40" w:before="40"/>
      </w:pPr>
      <w:r>
        <w:rPr>
          <w:rFonts w:ascii="Arial" w:cs="Arial" w:eastAsia="Arial" w:hAnsi="Arial"/>
          <w:sz w:val="22"/>
          <w:szCs w:val="22"/>
        </w:rPr>
        <w:t xml:space="preserve">No Work Product is derived from third-party confidential information the Assignor is not authorized to use</w:t>
      </w:r>
    </w:p>
    <w:p>
      <w:pPr>
        <w:pStyle w:val="ListParagraph"/>
        <w:numPr>
          <w:ilvl w:val="0"/>
          <w:numId w:val="2"/>
        </w:numPr>
        <w:spacing w:after="40" w:before="40"/>
      </w:pPr>
      <w:r>
        <w:rPr>
          <w:rFonts w:ascii="Arial" w:cs="Arial" w:eastAsia="Arial" w:hAnsi="Arial"/>
          <w:sz w:val="22"/>
          <w:szCs w:val="22"/>
        </w:rPr>
        <w:t xml:space="preserve">The Assignor has not previously assigned, licensed, or encumbered any Work Product (other than Background IP in Schedule A)</w:t>
      </w:r>
    </w:p>
    <w:p>
      <w:pPr>
        <w:pStyle w:val="ListParagraph"/>
        <w:numPr>
          <w:ilvl w:val="0"/>
          <w:numId w:val="2"/>
        </w:numPr>
        <w:spacing w:after="40" w:before="40"/>
      </w:pPr>
      <w:r>
        <w:rPr>
          <w:rFonts w:ascii="Arial" w:cs="Arial" w:eastAsia="Arial" w:hAnsi="Arial"/>
          <w:sz w:val="22"/>
          <w:szCs w:val="22"/>
        </w:rPr>
        <w:t xml:space="preserve">The Assignor will promptly notify the Company if any of these warranties cease to be accurate</w:t>
      </w:r>
    </w:p>
    <w:p>
      <w:r>
        <w:br w:type="page"/>
      </w:r>
    </w:p>
    <w:p>
      <w:pPr>
        <w:pStyle w:val="Heading1"/>
        <w:spacing w:after="120" w:before="300"/>
      </w:pPr>
      <w:r>
        <w:rPr>
          <w:rFonts w:ascii="Arial" w:cs="Arial" w:eastAsia="Arial" w:hAnsi="Arial"/>
          <w:b/>
          <w:bCs/>
          <w:color w:val="2D6E8A"/>
          <w:sz w:val="28"/>
          <w:szCs w:val="28"/>
        </w:rPr>
        <w:t xml:space="preserve">9. Confidentiality</w:t>
      </w:r>
    </w:p>
    <w:p>
      <w:pPr>
        <w:spacing w:after="60" w:before="60"/>
      </w:pPr>
      <w:r>
        <w:rPr>
          <w:rFonts w:ascii="Arial" w:cs="Arial" w:eastAsia="Arial" w:hAnsi="Arial"/>
          <w:sz w:val="22"/>
          <w:szCs w:val="22"/>
        </w:rPr>
        <w:t xml:space="preserve">The Assignor shall maintain strict confidentiality with respect to all Confidential Information of the Company (including all Work Product and Background IP licensed to the Company) during and after the engagement, and shall not disclose to any third party without the Company prior written consent.</w:t>
      </w:r>
    </w:p>
    <w:p>
      <w:r>
        <w:br w:type="page"/>
      </w:r>
    </w:p>
    <w:p>
      <w:pPr>
        <w:pStyle w:val="Heading1"/>
        <w:spacing w:after="120" w:before="300"/>
      </w:pPr>
      <w:r>
        <w:rPr>
          <w:rFonts w:ascii="Arial" w:cs="Arial" w:eastAsia="Arial" w:hAnsi="Arial"/>
          <w:b/>
          <w:bCs/>
          <w:color w:val="2D6E8A"/>
          <w:sz w:val="28"/>
          <w:szCs w:val="28"/>
        </w:rPr>
        <w:t xml:space="preserve">10. Consideration</w:t>
      </w:r>
    </w:p>
    <w:p>
      <w:pPr>
        <w:spacing w:after="60" w:before="60"/>
      </w:pPr>
      <w:r>
        <w:rPr>
          <w:rFonts w:ascii="Arial" w:cs="Arial" w:eastAsia="Arial" w:hAnsi="Arial"/>
          <w:sz w:val="22"/>
          <w:szCs w:val="22"/>
        </w:rPr>
        <w:t xml:space="preserve">The Assignor acknowledges that compensation paid in connection with the engagement (salary, contractor fees, or equity awards as applicable) constitutes full and adequate consideration for all assignments and licenses under this Agreement. No additional payment is due for any specific item of Work Product.</w:t>
      </w:r>
    </w:p>
    <w:p>
      <w:r>
        <w:br w:type="page"/>
      </w:r>
    </w:p>
    <w:p>
      <w:pPr>
        <w:pStyle w:val="Heading1"/>
        <w:spacing w:after="120" w:before="300"/>
      </w:pPr>
      <w:r>
        <w:rPr>
          <w:rFonts w:ascii="Arial" w:cs="Arial" w:eastAsia="Arial" w:hAnsi="Arial"/>
          <w:b/>
          <w:bCs/>
          <w:color w:val="2D6E8A"/>
          <w:sz w:val="28"/>
          <w:szCs w:val="28"/>
        </w:rPr>
        <w:t xml:space="preserve">11. Governing Law and Dispute Resolution</w:t>
      </w:r>
    </w:p>
    <w:p>
      <w:pPr>
        <w:spacing w:after="60" w:before="60"/>
      </w:pPr>
      <w:r>
        <w:rPr>
          <w:rFonts w:ascii="Arial" w:cs="Arial" w:eastAsia="Arial" w:hAnsi="Arial"/>
          <w:sz w:val="22"/>
          <w:szCs w:val="22"/>
        </w:rPr>
        <w:t xml:space="preserve">Governed by the laws of the Kingdom of Saudi Arabia. Disputes resolved under the Company standard employment or contractor agreement escalation procedure, with final binding SCCA arbitration, seat Riyadh.</w:t>
      </w:r>
    </w:p>
    <w:p>
      <w:pPr>
        <w:pStyle w:val="Heading1"/>
        <w:spacing w:after="120" w:before="300"/>
      </w:pPr>
      <w:r>
        <w:rPr>
          <w:rFonts w:ascii="Arial" w:cs="Arial" w:eastAsia="Arial" w:hAnsi="Arial"/>
          <w:b/>
          <w:bCs/>
          <w:color w:val="2D6E8A"/>
          <w:sz w:val="28"/>
          <w:szCs w:val="28"/>
        </w:rPr>
        <w:t xml:space="preserve">12. General Provisions</w:t>
      </w:r>
    </w:p>
    <w:p>
      <w:pPr>
        <w:pStyle w:val="ListParagraph"/>
        <w:numPr>
          <w:ilvl w:val="0"/>
          <w:numId w:val="2"/>
        </w:numPr>
        <w:spacing w:after="40" w:before="40"/>
      </w:pPr>
      <w:r>
        <w:rPr>
          <w:rFonts w:ascii="Arial" w:cs="Arial" w:eastAsia="Arial" w:hAnsi="Arial"/>
          <w:sz w:val="22"/>
          <w:szCs w:val="22"/>
        </w:rPr>
        <w:t xml:space="preserve">Survival: Assignment under Section 4 and warranties under Section 8 survive termination of engagement</w:t>
      </w:r>
    </w:p>
    <w:p>
      <w:pPr>
        <w:pStyle w:val="ListParagraph"/>
        <w:numPr>
          <w:ilvl w:val="0"/>
          <w:numId w:val="2"/>
        </w:numPr>
        <w:spacing w:after="40" w:before="40"/>
      </w:pPr>
      <w:r>
        <w:rPr>
          <w:rFonts w:ascii="Arial" w:cs="Arial" w:eastAsia="Arial" w:hAnsi="Arial"/>
          <w:sz w:val="22"/>
          <w:szCs w:val="22"/>
        </w:rPr>
        <w:t xml:space="preserve">Entire Agreement: This Agreement and Schedule A constitute the entire agreement with respect to IP assignment</w:t>
      </w:r>
    </w:p>
    <w:p>
      <w:pPr>
        <w:pStyle w:val="ListParagraph"/>
        <w:numPr>
          <w:ilvl w:val="0"/>
          <w:numId w:val="2"/>
        </w:numPr>
        <w:spacing w:after="40" w:before="40"/>
      </w:pPr>
      <w:r>
        <w:rPr>
          <w:rFonts w:ascii="Arial" w:cs="Arial" w:eastAsia="Arial" w:hAnsi="Arial"/>
          <w:sz w:val="22"/>
          <w:szCs w:val="22"/>
        </w:rPr>
        <w:t xml:space="preserve">Amendments: Must be in writing signed by both Parties</w:t>
      </w:r>
    </w:p>
    <w:p>
      <w:pPr>
        <w:pStyle w:val="ListParagraph"/>
        <w:numPr>
          <w:ilvl w:val="0"/>
          <w:numId w:val="2"/>
        </w:numPr>
        <w:spacing w:after="40" w:before="40"/>
      </w:pPr>
      <w:r>
        <w:rPr>
          <w:rFonts w:ascii="Arial" w:cs="Arial" w:eastAsia="Arial" w:hAnsi="Arial"/>
          <w:sz w:val="22"/>
          <w:szCs w:val="22"/>
        </w:rPr>
        <w:t xml:space="preserve">Language: English primary; Arabic version may be prepared if required by Saudi law</w:t>
      </w:r>
    </w:p>
    <w:p>
      <w:r>
        <w:br w:type="page"/>
      </w:r>
    </w:p>
    <w:p>
      <w:pPr>
        <w:pStyle w:val="Heading1"/>
        <w:spacing w:after="120" w:before="300"/>
      </w:pPr>
      <w:r>
        <w:rPr>
          <w:rFonts w:ascii="Arial" w:cs="Arial" w:eastAsia="Arial" w:hAnsi="Arial"/>
          <w:b/>
          <w:bCs/>
          <w:color w:val="2D6E8A"/>
          <w:sz w:val="28"/>
          <w:szCs w:val="28"/>
        </w:rPr>
        <w:t xml:space="preserve">Schedule A — Pre-Existing Intellectual Property (Background IP)</w:t>
      </w:r>
    </w:p>
    <w:p>
      <w:pPr>
        <w:spacing w:after="60" w:before="60"/>
      </w:pPr>
      <w:r>
        <w:rPr>
          <w:rFonts w:ascii="Arial" w:cs="Arial" w:eastAsia="Arial" w:hAnsi="Arial"/>
          <w:sz w:val="22"/>
          <w:szCs w:val="22"/>
        </w:rPr>
        <w:t xml:space="preserve">[If the Assignor has no pre-existing IP to exclude, write "None" below.]</w:t>
      </w:r>
    </w:p>
    <w:p>
      <w:pPr>
        <w:spacing w:after="80" w:before="80"/>
      </w:pPr>
      <w:r>
        <w:t xml:space="preserve"/>
      </w:r>
    </w:p>
    <w:p>
      <w:pPr>
        <w:spacing w:after="60" w:before="60"/>
      </w:pPr>
      <w:r>
        <w:rPr>
          <w:rFonts w:ascii="Arial" w:cs="Arial" w:eastAsia="Arial" w:hAnsi="Arial"/>
          <w:sz w:val="22"/>
          <w:szCs w:val="22"/>
        </w:rPr>
        <w:t xml:space="preserve">Assignor Pre-Existing IP:</w:t>
      </w:r>
    </w:p>
    <w:p>
      <w:pPr>
        <w:pStyle w:val="ListParagraph"/>
        <w:numPr>
          <w:ilvl w:val="0"/>
          <w:numId w:val="2"/>
        </w:numPr>
        <w:spacing w:after="40" w:before="40"/>
      </w:pPr>
      <w:r>
        <w:rPr>
          <w:rFonts w:ascii="Arial" w:cs="Arial" w:eastAsia="Arial" w:hAnsi="Arial"/>
          <w:sz w:val="22"/>
          <w:szCs w:val="22"/>
        </w:rPr>
        <w:t xml:space="preserve">[DESCRIPTION OF BACKGROUND IP 1 — Title / Description / Date Created / Owner]</w:t>
      </w:r>
    </w:p>
    <w:p>
      <w:pPr>
        <w:pStyle w:val="ListParagraph"/>
        <w:numPr>
          <w:ilvl w:val="0"/>
          <w:numId w:val="2"/>
        </w:numPr>
        <w:spacing w:after="40" w:before="40"/>
      </w:pPr>
      <w:r>
        <w:rPr>
          <w:rFonts w:ascii="Arial" w:cs="Arial" w:eastAsia="Arial" w:hAnsi="Arial"/>
          <w:sz w:val="22"/>
          <w:szCs w:val="22"/>
        </w:rPr>
        <w:t xml:space="preserve">[DESCRIPTION OF BACKGROUND IP 2]</w:t>
      </w:r>
    </w:p>
    <w:p>
      <w:pPr>
        <w:pStyle w:val="ListParagraph"/>
        <w:numPr>
          <w:ilvl w:val="0"/>
          <w:numId w:val="2"/>
        </w:numPr>
        <w:spacing w:after="40" w:before="40"/>
      </w:pPr>
      <w:r>
        <w:rPr>
          <w:rFonts w:ascii="Arial" w:cs="Arial" w:eastAsia="Arial" w:hAnsi="Arial"/>
          <w:sz w:val="22"/>
          <w:szCs w:val="22"/>
        </w:rPr>
        <w:t xml:space="preserve">[NONE — if no pre-existing IP]</w:t>
      </w:r>
    </w:p>
    <w:p>
      <w:pPr>
        <w:spacing w:after="80" w:before="80"/>
      </w:pPr>
      <w:r>
        <w:t xml:space="preserve"/>
      </w:r>
    </w:p>
    <w:p>
      <w:pPr>
        <w:spacing w:after="60" w:before="60"/>
      </w:pPr>
      <w:r>
        <w:rPr>
          <w:rFonts w:ascii="Arial" w:cs="Arial" w:eastAsia="Arial" w:hAnsi="Arial"/>
          <w:sz w:val="22"/>
          <w:szCs w:val="22"/>
        </w:rPr>
        <w:t xml:space="preserve">By signing below, the Assignor confirms that the above list is complete and accurate, and that no other pre-existing IP has been or will be incorporated into any Work Product without prior written Company approval.</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BDA COMPANY INTERNATIONAL (شركة بدع الدولية) — Assignee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ASSIGNOR: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r>
        <w:br w:type="page"/>
      </w:r>
    </w:p>
    <w:p>
      <w:pPr>
        <w:pStyle w:val="Heading1"/>
        <w:spacing w:after="120" w:before="300"/>
      </w:pPr>
      <w:r>
        <w:rPr>
          <w:rFonts w:ascii="Arial" w:cs="Arial" w:eastAsia="Arial" w:hAnsi="Arial"/>
          <w:b/>
          <w:bCs/>
          <w:color w:val="2D6E8A"/>
          <w:sz w:val="28"/>
          <w:szCs w:val="28"/>
        </w:rPr>
        <w:t xml:space="preserve">Appendix B — IP Assignment Onboarding / Offboarding Checklist</w:t>
      </w:r>
    </w:p>
    <w:p>
      <w:pPr>
        <w:pStyle w:val="Heading2"/>
        <w:spacing w:after="80" w:before="200"/>
      </w:pPr>
      <w:r>
        <w:rPr>
          <w:rFonts w:ascii="Arial" w:cs="Arial" w:eastAsia="Arial" w:hAnsi="Arial"/>
          <w:b/>
          <w:bCs/>
          <w:color w:val="0A0E12"/>
          <w:sz w:val="24"/>
          <w:szCs w:val="24"/>
        </w:rPr>
        <w:t xml:space="preserve">At Onboarding</w:t>
      </w:r>
    </w:p>
    <w:p>
      <w:pPr>
        <w:pStyle w:val="ListParagraph"/>
        <w:numPr>
          <w:ilvl w:val="0"/>
          <w:numId w:val="2"/>
        </w:numPr>
        <w:spacing w:after="40" w:before="40"/>
      </w:pPr>
      <w:r>
        <w:rPr>
          <w:rFonts w:ascii="Arial" w:cs="Arial" w:eastAsia="Arial" w:hAnsi="Arial"/>
          <w:sz w:val="22"/>
          <w:szCs w:val="22"/>
        </w:rPr>
        <w:t xml:space="preserve">Confirm Assignor has completed and signed Schedule A (Background IP list)</w:t>
      </w:r>
    </w:p>
    <w:p>
      <w:pPr>
        <w:pStyle w:val="ListParagraph"/>
        <w:numPr>
          <w:ilvl w:val="0"/>
          <w:numId w:val="2"/>
        </w:numPr>
        <w:spacing w:after="40" w:before="40"/>
      </w:pPr>
      <w:r>
        <w:rPr>
          <w:rFonts w:ascii="Arial" w:cs="Arial" w:eastAsia="Arial" w:hAnsi="Arial"/>
          <w:sz w:val="22"/>
          <w:szCs w:val="22"/>
        </w:rPr>
        <w:t xml:space="preserve">Verify no Background IP conflicts with Company core technology</w:t>
      </w:r>
    </w:p>
    <w:p>
      <w:pPr>
        <w:pStyle w:val="ListParagraph"/>
        <w:numPr>
          <w:ilvl w:val="0"/>
          <w:numId w:val="2"/>
        </w:numPr>
        <w:spacing w:after="40" w:before="40"/>
      </w:pPr>
      <w:r>
        <w:rPr>
          <w:rFonts w:ascii="Arial" w:cs="Arial" w:eastAsia="Arial" w:hAnsi="Arial"/>
          <w:sz w:val="22"/>
          <w:szCs w:val="22"/>
        </w:rPr>
        <w:t xml:space="preserve">Store executed Agreement in Company HR and IP registers</w:t>
      </w:r>
    </w:p>
    <w:p>
      <w:pPr>
        <w:pStyle w:val="ListParagraph"/>
        <w:numPr>
          <w:ilvl w:val="0"/>
          <w:numId w:val="2"/>
        </w:numPr>
        <w:spacing w:after="40" w:before="40"/>
      </w:pPr>
      <w:r>
        <w:rPr>
          <w:rFonts w:ascii="Arial" w:cs="Arial" w:eastAsia="Arial" w:hAnsi="Arial"/>
          <w:sz w:val="22"/>
          <w:szCs w:val="22"/>
        </w:rPr>
        <w:t xml:space="preserve">Issue Assignor a copy of the executed Agreement</w:t>
      </w:r>
    </w:p>
    <w:p>
      <w:pPr>
        <w:pStyle w:val="ListParagraph"/>
        <w:numPr>
          <w:ilvl w:val="0"/>
          <w:numId w:val="2"/>
        </w:numPr>
        <w:spacing w:after="40" w:before="40"/>
      </w:pPr>
      <w:r>
        <w:rPr>
          <w:rFonts w:ascii="Arial" w:cs="Arial" w:eastAsia="Arial" w:hAnsi="Arial"/>
          <w:sz w:val="22"/>
          <w:szCs w:val="22"/>
        </w:rPr>
        <w:t xml:space="preserve">Brief Assignor on Work Product obligations and prohibited use of third-party IP</w:t>
      </w:r>
    </w:p>
    <w:p>
      <w:pPr>
        <w:pStyle w:val="Heading2"/>
        <w:spacing w:after="80" w:before="200"/>
      </w:pPr>
      <w:r>
        <w:rPr>
          <w:rFonts w:ascii="Arial" w:cs="Arial" w:eastAsia="Arial" w:hAnsi="Arial"/>
          <w:b/>
          <w:bCs/>
          <w:color w:val="0A0E12"/>
          <w:sz w:val="24"/>
          <w:szCs w:val="24"/>
        </w:rPr>
        <w:t xml:space="preserve">During Engagement</w:t>
      </w:r>
    </w:p>
    <w:p>
      <w:pPr>
        <w:pStyle w:val="ListParagraph"/>
        <w:numPr>
          <w:ilvl w:val="0"/>
          <w:numId w:val="2"/>
        </w:numPr>
        <w:spacing w:after="40" w:before="40"/>
      </w:pPr>
      <w:r>
        <w:rPr>
          <w:rFonts w:ascii="Arial" w:cs="Arial" w:eastAsia="Arial" w:hAnsi="Arial"/>
          <w:sz w:val="22"/>
          <w:szCs w:val="22"/>
        </w:rPr>
        <w:t xml:space="preserve">Ensure all code, designs, and content are committed to Company-controlled repositories only</w:t>
      </w:r>
    </w:p>
    <w:p>
      <w:pPr>
        <w:pStyle w:val="ListParagraph"/>
        <w:numPr>
          <w:ilvl w:val="0"/>
          <w:numId w:val="2"/>
        </w:numPr>
        <w:spacing w:after="40" w:before="40"/>
      </w:pPr>
      <w:r>
        <w:rPr>
          <w:rFonts w:ascii="Arial" w:cs="Arial" w:eastAsia="Arial" w:hAnsi="Arial"/>
          <w:sz w:val="22"/>
          <w:szCs w:val="22"/>
        </w:rPr>
        <w:t xml:space="preserve">Document significant new inventions via an internal IP disclosure form</w:t>
      </w:r>
    </w:p>
    <w:p>
      <w:pPr>
        <w:pStyle w:val="ListParagraph"/>
        <w:numPr>
          <w:ilvl w:val="0"/>
          <w:numId w:val="2"/>
        </w:numPr>
        <w:spacing w:after="40" w:before="40"/>
      </w:pPr>
      <w:r>
        <w:rPr>
          <w:rFonts w:ascii="Arial" w:cs="Arial" w:eastAsia="Arial" w:hAnsi="Arial"/>
          <w:sz w:val="22"/>
          <w:szCs w:val="22"/>
        </w:rPr>
        <w:t xml:space="preserve">Remind Assignors annually of their IP assignment obligations at performance review</w:t>
      </w:r>
    </w:p>
    <w:p>
      <w:pPr>
        <w:pStyle w:val="Heading2"/>
        <w:spacing w:after="80" w:before="200"/>
      </w:pPr>
      <w:r>
        <w:rPr>
          <w:rFonts w:ascii="Arial" w:cs="Arial" w:eastAsia="Arial" w:hAnsi="Arial"/>
          <w:b/>
          <w:bCs/>
          <w:color w:val="0A0E12"/>
          <w:sz w:val="24"/>
          <w:szCs w:val="24"/>
        </w:rPr>
        <w:t xml:space="preserve">At Offboarding</w:t>
      </w:r>
    </w:p>
    <w:p>
      <w:pPr>
        <w:pStyle w:val="ListParagraph"/>
        <w:numPr>
          <w:ilvl w:val="0"/>
          <w:numId w:val="2"/>
        </w:numPr>
        <w:spacing w:after="40" w:before="40"/>
      </w:pPr>
      <w:r>
        <w:rPr>
          <w:rFonts w:ascii="Arial" w:cs="Arial" w:eastAsia="Arial" w:hAnsi="Arial"/>
          <w:sz w:val="22"/>
          <w:szCs w:val="22"/>
        </w:rPr>
        <w:t xml:space="preserve">Confirm return or destruction of all Confidential Information and proprietary materials</w:t>
      </w:r>
    </w:p>
    <w:p>
      <w:pPr>
        <w:pStyle w:val="ListParagraph"/>
        <w:numPr>
          <w:ilvl w:val="0"/>
          <w:numId w:val="2"/>
        </w:numPr>
        <w:spacing w:after="40" w:before="40"/>
      </w:pPr>
      <w:r>
        <w:rPr>
          <w:rFonts w:ascii="Arial" w:cs="Arial" w:eastAsia="Arial" w:hAnsi="Arial"/>
          <w:sz w:val="22"/>
          <w:szCs w:val="22"/>
        </w:rPr>
        <w:t xml:space="preserve">Obtain written certification of return/destruction within five (5) business days of termination</w:t>
      </w:r>
    </w:p>
    <w:p>
      <w:pPr>
        <w:pStyle w:val="ListParagraph"/>
        <w:numPr>
          <w:ilvl w:val="0"/>
          <w:numId w:val="2"/>
        </w:numPr>
        <w:spacing w:after="40" w:before="40"/>
      </w:pPr>
      <w:r>
        <w:rPr>
          <w:rFonts w:ascii="Arial" w:cs="Arial" w:eastAsia="Arial" w:hAnsi="Arial"/>
          <w:sz w:val="22"/>
          <w:szCs w:val="22"/>
        </w:rPr>
        <w:t xml:space="preserve">Revoke access to all Company systems, repositories, and cloud services on last day</w:t>
      </w:r>
    </w:p>
    <w:p>
      <w:pPr>
        <w:pStyle w:val="ListParagraph"/>
        <w:numPr>
          <w:ilvl w:val="0"/>
          <w:numId w:val="2"/>
        </w:numPr>
        <w:spacing w:after="40" w:before="40"/>
      </w:pPr>
      <w:r>
        <w:rPr>
          <w:rFonts w:ascii="Arial" w:cs="Arial" w:eastAsia="Arial" w:hAnsi="Arial"/>
          <w:sz w:val="22"/>
          <w:szCs w:val="22"/>
        </w:rPr>
        <w:t xml:space="preserve">Update Company IP register to reflect Assignor offboarding date and final work product list</w:t>
      </w:r>
    </w:p>
    <w:p>
      <w:r>
        <w:br w:type="page"/>
      </w:r>
    </w:p>
    <w:p>
      <w:pPr>
        <w:pStyle w:val="Heading1"/>
        <w:spacing w:after="120" w:before="300"/>
      </w:pPr>
      <w:r>
        <w:rPr>
          <w:rFonts w:ascii="Arial" w:cs="Arial" w:eastAsia="Arial" w:hAnsi="Arial"/>
          <w:b/>
          <w:bCs/>
          <w:color w:val="2D6E8A"/>
          <w:sz w:val="28"/>
          <w:szCs w:val="28"/>
        </w:rPr>
        <w:t xml:space="preserve">Appendix C — Captain Adel Persona IP Ownership Confirmation</w:t>
      </w:r>
    </w:p>
    <w:p>
      <w:pPr>
        <w:spacing w:after="60" w:before="60"/>
      </w:pPr>
      <w:r>
        <w:rPr>
          <w:rFonts w:ascii="Arial" w:cs="Arial" w:eastAsia="Arial" w:hAnsi="Arial"/>
          <w:sz w:val="22"/>
          <w:szCs w:val="22"/>
        </w:rPr>
        <w:t xml:space="preserve">This Appendix records specific IP rights assigned to Fly GACA with respect to the Captain Adel persona, the Company most commercially significant proprietary asset:</w:t>
      </w:r>
    </w:p>
    <w:p>
      <w:pPr>
        <w:pStyle w:val="ListParagraph"/>
        <w:numPr>
          <w:ilvl w:val="0"/>
          <w:numId w:val="2"/>
        </w:numPr>
        <w:spacing w:after="40" w:before="40"/>
      </w:pPr>
      <w:r>
        <w:rPr>
          <w:rFonts w:ascii="Arial" w:cs="Arial" w:eastAsia="Arial" w:hAnsi="Arial"/>
          <w:sz w:val="22"/>
          <w:szCs w:val="22"/>
        </w:rPr>
        <w:t xml:space="preserve">The "Captain Adel" name, title, and all associated branding</w:t>
      </w:r>
    </w:p>
    <w:p>
      <w:pPr>
        <w:pStyle w:val="ListParagraph"/>
        <w:numPr>
          <w:ilvl w:val="0"/>
          <w:numId w:val="2"/>
        </w:numPr>
        <w:spacing w:after="40" w:before="40"/>
      </w:pPr>
      <w:r>
        <w:rPr>
          <w:rFonts w:ascii="Arial" w:cs="Arial" w:eastAsia="Arial" w:hAnsi="Arial"/>
          <w:sz w:val="22"/>
          <w:szCs w:val="22"/>
        </w:rPr>
        <w:t xml:space="preserve">All character art, visual representations, and design assets depicting Captain Adel</w:t>
      </w:r>
    </w:p>
    <w:p>
      <w:pPr>
        <w:pStyle w:val="ListParagraph"/>
        <w:numPr>
          <w:ilvl w:val="0"/>
          <w:numId w:val="2"/>
        </w:numPr>
        <w:spacing w:after="40" w:before="40"/>
      </w:pPr>
      <w:r>
        <w:rPr>
          <w:rFonts w:ascii="Arial" w:cs="Arial" w:eastAsia="Arial" w:hAnsi="Arial"/>
          <w:sz w:val="22"/>
          <w:szCs w:val="22"/>
        </w:rPr>
        <w:t xml:space="preserve">The Captain Adel AI persona system prompt architecture, personality definition, and behavioral guidelines</w:t>
      </w:r>
    </w:p>
    <w:p>
      <w:pPr>
        <w:pStyle w:val="ListParagraph"/>
        <w:numPr>
          <w:ilvl w:val="0"/>
          <w:numId w:val="2"/>
        </w:numPr>
        <w:spacing w:after="40" w:before="40"/>
      </w:pPr>
      <w:r>
        <w:rPr>
          <w:rFonts w:ascii="Arial" w:cs="Arial" w:eastAsia="Arial" w:hAnsi="Arial"/>
          <w:sz w:val="22"/>
          <w:szCs w:val="22"/>
        </w:rPr>
        <w:t xml:space="preserve">All evaluation frameworks (RAG grounding evals, response quality metrics) developed for Captain Adel</w:t>
      </w:r>
    </w:p>
    <w:p>
      <w:pPr>
        <w:pStyle w:val="ListParagraph"/>
        <w:numPr>
          <w:ilvl w:val="0"/>
          <w:numId w:val="2"/>
        </w:numPr>
        <w:spacing w:after="40" w:before="40"/>
      </w:pPr>
      <w:r>
        <w:rPr>
          <w:rFonts w:ascii="Arial" w:cs="Arial" w:eastAsia="Arial" w:hAnsi="Arial"/>
          <w:sz w:val="22"/>
          <w:szCs w:val="22"/>
        </w:rPr>
        <w:t xml:space="preserve">The voice design, tone, and communication style defined for Captain Adel</w:t>
      </w:r>
    </w:p>
    <w:p>
      <w:pPr>
        <w:pStyle w:val="ListParagraph"/>
        <w:numPr>
          <w:ilvl w:val="0"/>
          <w:numId w:val="2"/>
        </w:numPr>
        <w:spacing w:after="40" w:before="40"/>
      </w:pPr>
      <w:r>
        <w:rPr>
          <w:rFonts w:ascii="Arial" w:cs="Arial" w:eastAsia="Arial" w:hAnsi="Arial"/>
          <w:sz w:val="22"/>
          <w:szCs w:val="22"/>
        </w:rPr>
        <w:t xml:space="preserve">All derivative works, localizations, and Arabic adaptations of the Captain Adel persona</w:t>
      </w:r>
    </w:p>
    <w:p>
      <w:pPr>
        <w:spacing w:after="80" w:before="80"/>
      </w:pPr>
      <w:r>
        <w:t xml:space="preserve"/>
      </w:r>
    </w:p>
    <w:p>
      <w:pPr>
        <w:spacing w:after="60" w:before="60"/>
      </w:pPr>
      <w:r>
        <w:rPr>
          <w:rFonts w:ascii="Arial" w:cs="Arial" w:eastAsia="Arial" w:hAnsi="Arial"/>
          <w:sz w:val="22"/>
          <w:szCs w:val="22"/>
        </w:rPr>
        <w:t xml:space="preserve">If Adel Yahya A. Madkhali (Captain Adel) is the Assignor, this Appendix documents his pre-existing consent, effective upon Company incorporation, that all aspects of the Captain Adel persona created in connection with Fly GACA are Company property. This consent is irrevocable and survives any future departure from the Company.</w:t>
      </w:r>
    </w:p>
    <w:p>
      <w:r>
        <w:br w:type="page"/>
      </w:r>
    </w:p>
    <w:p>
      <w:pPr>
        <w:pStyle w:val="Heading1"/>
        <w:spacing w:after="120" w:before="300"/>
      </w:pPr>
      <w:r>
        <w:rPr>
          <w:rFonts w:ascii="Arial" w:cs="Arial" w:eastAsia="Arial" w:hAnsi="Arial"/>
          <w:b/>
          <w:bCs/>
          <w:color w:val="2D6E8A"/>
          <w:sz w:val="28"/>
          <w:szCs w:val="28"/>
        </w:rPr>
        <w:t xml:space="preserve">Appendix D — Saudi IP Registration Reference</w:t>
      </w:r>
    </w:p>
    <w:p>
      <w:pPr>
        <w:pStyle w:val="ListParagraph"/>
        <w:numPr>
          <w:ilvl w:val="0"/>
          <w:numId w:val="2"/>
        </w:numPr>
        <w:spacing w:after="40" w:before="40"/>
      </w:pPr>
      <w:r>
        <w:rPr>
          <w:rFonts w:ascii="Arial" w:cs="Arial" w:eastAsia="Arial" w:hAnsi="Arial"/>
          <w:sz w:val="22"/>
          <w:szCs w:val="22"/>
        </w:rPr>
        <w:t xml:space="preserve">Saudi Authority for Intellectual Property (SAIP): www.saip.gov.sa — patents, trademarks, copyrights</w:t>
      </w:r>
    </w:p>
    <w:p>
      <w:pPr>
        <w:pStyle w:val="ListParagraph"/>
        <w:numPr>
          <w:ilvl w:val="0"/>
          <w:numId w:val="2"/>
        </w:numPr>
        <w:spacing w:after="40" w:before="40"/>
      </w:pPr>
      <w:r>
        <w:rPr>
          <w:rFonts w:ascii="Arial" w:cs="Arial" w:eastAsia="Arial" w:hAnsi="Arial"/>
          <w:sz w:val="22"/>
          <w:szCs w:val="22"/>
        </w:rPr>
        <w:t xml:space="preserve">GCC Patent Office: regional patent protection covering all six GCC states</w:t>
      </w:r>
    </w:p>
    <w:p>
      <w:pPr>
        <w:pStyle w:val="ListParagraph"/>
        <w:numPr>
          <w:ilvl w:val="0"/>
          <w:numId w:val="2"/>
        </w:numPr>
        <w:spacing w:after="40" w:before="40"/>
      </w:pPr>
      <w:r>
        <w:rPr>
          <w:rFonts w:ascii="Arial" w:cs="Arial" w:eastAsia="Arial" w:hAnsi="Arial"/>
          <w:sz w:val="22"/>
          <w:szCs w:val="22"/>
        </w:rPr>
        <w:t xml:space="preserve">WIPO PCT System: international patent applications covering 150+ jurisdictions</w:t>
      </w:r>
    </w:p>
    <w:p>
      <w:pPr>
        <w:pStyle w:val="ListParagraph"/>
        <w:numPr>
          <w:ilvl w:val="0"/>
          <w:numId w:val="2"/>
        </w:numPr>
        <w:spacing w:after="40" w:before="40"/>
      </w:pPr>
      <w:r>
        <w:rPr>
          <w:rFonts w:ascii="Arial" w:cs="Arial" w:eastAsia="Arial" w:hAnsi="Arial"/>
          <w:sz w:val="22"/>
          <w:szCs w:val="22"/>
        </w:rPr>
        <w:t xml:space="preserve">Domain registration: SaudiNIC for .sa domains; ICANN registrars for .com</w:t>
      </w:r>
    </w:p>
    <w:p>
      <w:pPr>
        <w:spacing w:after="60" w:before="60"/>
      </w:pPr>
      <w:r>
        <w:rPr>
          <w:rFonts w:ascii="Arial" w:cs="Arial" w:eastAsia="Arial" w:hAnsi="Arial"/>
          <w:sz w:val="22"/>
          <w:szCs w:val="22"/>
        </w:rPr>
        <w:t xml:space="preserve">Priority filing actions: Trademark for "Fly GACA," "Captain Adel," and the Company logo in KSA; PCT patent application for the AI-RAG aviation regulatory Q&amp;A system; Copyright registration for GACAR library index structure. The Assignor shall provide all assistance required for such filings under Section 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2026-05-05T01:48:00.921Z</dcterms:created>
  <dcterms:modified xsi:type="dcterms:W3CDTF">2026-05-05T01:48:00.921Z</dcterms:modified>
</cp:coreProperties>
</file>

<file path=docProps/custom.xml><?xml version="1.0" encoding="utf-8"?>
<Properties xmlns="http://schemas.openxmlformats.org/officeDocument/2006/custom-properties" xmlns:vt="http://schemas.openxmlformats.org/officeDocument/2006/docPropsVTypes"/>
</file>