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48"/>
          <w:szCs w:val="48"/>
        </w:rPr>
        <w:t xml:space="preserve"/>
      </w:r>
    </w:p>
    <w:p>
      <w:pPr>
        <w:shd w:fill="2D6E8A" w:val="clear"/>
        <w:spacing w:after="0" w:before="0"/>
        <w:jc w:val="center"/>
      </w:pPr>
      <w:r>
        <w:rPr>
          <w:rFonts w:ascii="Arial" w:cs="Arial" w:eastAsia="Arial" w:hAnsi="Arial"/>
          <w:b/>
          <w:bCs/>
          <w:caps/>
          <w:color w:val="FFFFFF"/>
          <w:sz w:val="40"/>
          <w:szCs w:val="40"/>
        </w:rPr>
        <w:t xml:space="preserve">FLY GACA</w:t>
      </w:r>
    </w:p>
    <w:p>
      <w:pPr>
        <w:shd w:fill="2D6E8A" w:val="clear"/>
        <w:spacing w:after="0" w:before="0"/>
        <w:jc w:val="center"/>
      </w:pPr>
      <w:r>
        <w:rPr>
          <w:rFonts w:ascii="Arial" w:cs="Arial" w:eastAsia="Arial" w:hAnsi="Arial"/>
          <w:b/>
          <w:bCs/>
          <w:color w:val="C8A04A"/>
          <w:sz w:val="28"/>
          <w:szCs w:val="28"/>
        </w:rPr>
        <w:t xml:space="preserve">Saudi Government &amp; Tax</w:t>
      </w:r>
    </w:p>
    <w:p>
      <w:pPr>
        <w:pBdr>
          <w:bottom w:val="single" w:color="C8A04A" w:sz="8" w:space="4"/>
        </w:pBdr>
        <w:spacing w:after="240" w:before="80"/>
        <w:jc w:val="center"/>
      </w:pPr>
      <w:r>
        <w:rPr>
          <w:sz w:val="4"/>
          <w:szCs w:val="4"/>
        </w:rPr>
        <w:t xml:space="preserve"/>
      </w:r>
    </w:p>
    <w:p>
      <w:pPr>
        <w:spacing w:after="120" w:before="480"/>
        <w:jc w:val="center"/>
      </w:pPr>
      <w:r>
        <w:rPr>
          <w:rFonts w:ascii="Arial" w:cs="Arial" w:eastAsia="Arial" w:hAnsi="Arial"/>
          <w:b/>
          <w:bCs/>
          <w:color w:val="2D6E8A"/>
          <w:sz w:val="48"/>
          <w:szCs w:val="48"/>
        </w:rPr>
        <w:t xml:space="preserve">NTDP National Technology
Development Program Application</w:t>
      </w:r>
    </w:p>
    <w:p>
      <w:pPr>
        <w:spacing w:after="960" w:before="0"/>
        <w:jc w:val="center"/>
      </w:pPr>
      <w:r>
        <w:rPr>
          <w:rFonts w:ascii="Arial" w:cs="Arial" w:eastAsia="Arial" w:hAnsi="Arial"/>
          <w:i/>
          <w:iCs/>
          <w:color w:val="555555"/>
          <w:sz w:val="24"/>
          <w:szCs w:val="24"/>
        </w:rPr>
        <w:t xml:space="preserve">Non-Dilutive Grants &amp; Subsidies for Saudi Tech Startups</w:t>
      </w:r>
    </w:p>
    <w:p>
      <w:pPr>
        <w:jc w:val="center"/>
      </w:pPr>
      <w:r>
        <w:rPr>
          <w:rFonts w:ascii="Arial" w:cs="Arial" w:eastAsia="Arial" w:hAnsi="Arial"/>
          <w:color w:val="888888"/>
          <w:sz w:val="18"/>
          <w:szCs w:val="18"/>
        </w:rPr>
        <w:t xml:space="preserve">Fly GACA  ·  Saudi Gov &amp; Tax  ·  v1.0  ·  May 2026</w:t>
      </w:r>
    </w:p>
    <w:p>
      <w:pPr>
        <w:jc w:val="center"/>
      </w:pPr>
      <w:r>
        <w:rPr>
          <w:rFonts w:ascii="Arial" w:cs="Arial" w:eastAsia="Arial" w:hAnsi="Arial"/>
          <w:color w:val="888888"/>
          <w:sz w:val="18"/>
          <w:szCs w:val="18"/>
        </w:rPr>
        <w:t xml:space="preserve">BDA Company International (Fly GACA)  ·  Adel Yahya A. Madkhali  ·  i@flygaca.com  ·  +966 51 096 6969  ·  flygaca.com</w:t>
      </w:r>
    </w:p>
    <w:p>
      <w:pPr>
        <w:pageBreakBefore/>
      </w:pPr>
      <w:r/>
    </w:p>
    <w:p>
      <w:pPr>
        <w:shd w:fill="B5DDC2" w:val="clear"/>
        <w:spacing w:after="160" w:before="160"/>
        <w:ind w:left="360" w:right="360"/>
      </w:pPr>
      <w:r>
        <w:rPr>
          <w:rFonts w:ascii="Arial" w:cs="Arial" w:eastAsia="Arial" w:hAnsi="Arial"/>
          <w:i/>
          <w:iCs/>
          <w:color w:val="1A3D2A"/>
          <w:sz w:val="22"/>
          <w:szCs w:val="22"/>
        </w:rPr>
        <w:t xml:space="preserve">The National Technology Development Program (NTDP) is Saudi Arabia’s primary non-dilutive funding mechanism for technology companies. Unlike equity investment, NTDP grants do not dilute Captain Adel’s ownership. Fly GACA qualifies for three distinct NTDP programs totalling potential support of 750K–2.5M SAR.</w:t>
      </w:r>
    </w:p>
    <w:p>
      <w:r>
        <w:t xml:space="preserve"/>
      </w:r>
    </w:p>
    <w:p>
      <w:pPr>
        <w:pStyle w:val="Heading1"/>
      </w:pPr>
      <w:r>
        <w:rPr>
          <w:rFonts w:ascii="Arial" w:cs="Arial" w:eastAsia="Arial" w:hAnsi="Arial"/>
          <w:b/>
          <w:bCs/>
          <w:color w:val="2D6E8A"/>
          <w:sz w:val="28"/>
          <w:szCs w:val="28"/>
        </w:rPr>
        <w:t xml:space="preserve">1. NTDP Overview</w:t>
      </w:r>
    </w:p>
    <w:p>
      <w:r>
        <w:rPr>
          <w:rFonts w:ascii="Arial" w:cs="Arial" w:eastAsia="Arial" w:hAnsi="Arial"/>
          <w:sz w:val="22"/>
          <w:szCs w:val="22"/>
        </w:rPr>
        <w:t xml:space="preserve">The National Technology Development Program (ntdp.gov.sa) operates under the Ministry of Communications and Information Technology (MCIT). NTDP channels Vision 2030 funding into Saudi-based technology companies through subsidy programs, R&amp;D grants, talent programs, and deep-tech grants. NTDP has committed over 3 billion SAR since 2019 to qualifying Saudi tech companies.</w:t>
      </w:r>
    </w:p>
    <w:p>
      <w:r>
        <w:t xml:space="preserve"/>
      </w:r>
    </w:p>
    <w:p>
      <w:pPr>
        <w:pStyle w:val="Heading1"/>
      </w:pPr>
      <w:r>
        <w:rPr>
          <w:rFonts w:ascii="Arial" w:cs="Arial" w:eastAsia="Arial" w:hAnsi="Arial"/>
          <w:b/>
          <w:bCs/>
          <w:color w:val="2D6E8A"/>
          <w:sz w:val="28"/>
          <w:szCs w:val="28"/>
        </w:rPr>
        <w:t xml:space="preserve">2. Eligibility Requirements</w:t>
      </w:r>
    </w:p>
    <w:p>
      <w:pPr>
        <w:pStyle w:val="ListParagraph"/>
        <w:numPr>
          <w:ilvl w:val="0"/>
          <w:numId w:val="2"/>
        </w:numPr>
      </w:pPr>
      <w:r>
        <w:rPr>
          <w:rFonts w:ascii="Arial" w:cs="Arial" w:eastAsia="Arial" w:hAnsi="Arial"/>
          <w:b w:val="false"/>
          <w:bCs w:val="false"/>
          <w:sz w:val="22"/>
          <w:szCs w:val="22"/>
        </w:rPr>
        <w:t xml:space="preserve">Company must be registered in Saudi Arabia with valid CR and MISA license</w:t>
      </w:r>
    </w:p>
    <w:p>
      <w:pPr>
        <w:pStyle w:val="ListParagraph"/>
        <w:numPr>
          <w:ilvl w:val="0"/>
          <w:numId w:val="2"/>
        </w:numPr>
      </w:pPr>
      <w:r>
        <w:rPr>
          <w:rFonts w:ascii="Arial" w:cs="Arial" w:eastAsia="Arial" w:hAnsi="Arial"/>
          <w:b w:val="false"/>
          <w:bCs w:val="false"/>
          <w:sz w:val="22"/>
          <w:szCs w:val="22"/>
        </w:rPr>
        <w:t xml:space="preserve">Primary business activity must be technology-focused (Fly GACA: EdTech / AI / Aviation Software)</w:t>
      </w:r>
    </w:p>
    <w:p>
      <w:pPr>
        <w:pStyle w:val="ListParagraph"/>
        <w:numPr>
          <w:ilvl w:val="0"/>
          <w:numId w:val="2"/>
        </w:numPr>
      </w:pPr>
      <w:r>
        <w:rPr>
          <w:rFonts w:ascii="Arial" w:cs="Arial" w:eastAsia="Arial" w:hAnsi="Arial"/>
          <w:b w:val="false"/>
          <w:bCs w:val="false"/>
          <w:sz w:val="22"/>
          <w:szCs w:val="22"/>
        </w:rPr>
        <w:t xml:space="preserve">Company must be less than 7 years old from CR date (Fly GACA: eligible throughout the plan period)</w:t>
      </w:r>
    </w:p>
    <w:p>
      <w:pPr>
        <w:pStyle w:val="ListParagraph"/>
        <w:numPr>
          <w:ilvl w:val="0"/>
          <w:numId w:val="2"/>
        </w:numPr>
      </w:pPr>
      <w:r>
        <w:rPr>
          <w:rFonts w:ascii="Arial" w:cs="Arial" w:eastAsia="Arial" w:hAnsi="Arial"/>
          <w:b w:val="false"/>
          <w:bCs w:val="false"/>
          <w:sz w:val="22"/>
          <w:szCs w:val="22"/>
        </w:rPr>
        <w:t xml:space="preserve">Minimum 1 full-time Saudi employee (or founder as sole employee)</w:t>
      </w:r>
    </w:p>
    <w:p>
      <w:pPr>
        <w:pStyle w:val="ListParagraph"/>
        <w:numPr>
          <w:ilvl w:val="0"/>
          <w:numId w:val="2"/>
        </w:numPr>
      </w:pPr>
      <w:r>
        <w:rPr>
          <w:rFonts w:ascii="Arial" w:cs="Arial" w:eastAsia="Arial" w:hAnsi="Arial"/>
          <w:b w:val="false"/>
          <w:bCs w:val="false"/>
          <w:sz w:val="22"/>
          <w:szCs w:val="22"/>
        </w:rPr>
        <w:t xml:space="preserve">No outstanding government debts or regulatory violations</w:t>
      </w:r>
    </w:p>
    <w:p>
      <w:r>
        <w:t xml:space="preserve"/>
      </w:r>
    </w:p>
    <w:p>
      <w:pPr>
        <w:pStyle w:val="Heading1"/>
      </w:pPr>
      <w:r>
        <w:rPr>
          <w:rFonts w:ascii="Arial" w:cs="Arial" w:eastAsia="Arial" w:hAnsi="Arial"/>
          <w:b/>
          <w:bCs/>
          <w:color w:val="2D6E8A"/>
          <w:sz w:val="28"/>
          <w:szCs w:val="28"/>
        </w:rPr>
        <w:t xml:space="preserve">3. Program A: Tech Talent Subsidy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NTDP Tech Talent — Saudi Technical Talent Hiring Subsidy</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Benefit</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Up to 50% of gross salary for qualified Saudi tech hires, for first 24 months of employment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Eligible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Software engineers, data scientists, AI/ML engineers, DevOps, cybersecurity specialists</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Maximum per Hire</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Typically capped at 50% of 15,000 SAR/month = 7,500 SAR/month subsidy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Fly GACA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Apply for 2 senior tech hires in Year 2 (Flutter engineer + AI engineer). Estimated annual subsidy: 180,000 SAR.</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Application Portal</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ntdp.gov.sa – Tech Talent module</w:t>
            </w:r>
          </w:p>
        </w:tc>
      </w:tr>
    </w:tbl>
    <w:p>
      <w:r>
        <w:t xml:space="preserve"/>
      </w:r>
    </w:p>
    <w:p>
      <w:pPr>
        <w:pStyle w:val="Heading1"/>
      </w:pPr>
      <w:r>
        <w:rPr>
          <w:rFonts w:ascii="Arial" w:cs="Arial" w:eastAsia="Arial" w:hAnsi="Arial"/>
          <w:b/>
          <w:bCs/>
          <w:color w:val="2D6E8A"/>
          <w:sz w:val="28"/>
          <w:szCs w:val="28"/>
        </w:rPr>
        <w:t xml:space="preserve">4. Program B: Tech Subsidy (Software &amp;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NTDP Tech Subsidy — Cloud &amp; Software Development Cost Coverage</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Benefit</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Up to 50% of qualifying tech spend (cloud hosting, software licences, dev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Maximum Benefit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500,000 SAR per company lifetime</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Qualifying Expenses</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Google Cloud (me-central2), Firebase, Gemini API, GitHub Enterprise, CI/CD tools, security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Fly GACA Estimated Benefit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Year 1–2 cloud spend est. 200–400K SAR; 50% subsidy = 100–200K SAR recovery</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Application Timing</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Apply Q3 2026 — immediately post-CR and MISA license. Retroactive claims not permitted.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Application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ntdp.gov.sa – Tech Subsidy module</w:t>
            </w:r>
          </w:p>
        </w:tc>
      </w:tr>
    </w:tbl>
    <w:p>
      <w:r>
        <w:t xml:space="preserve"/>
      </w:r>
    </w:p>
    <w:p>
      <w:pPr>
        <w:pStyle w:val="Heading1"/>
      </w:pPr>
      <w:r>
        <w:rPr>
          <w:rFonts w:ascii="Arial" w:cs="Arial" w:eastAsia="Arial" w:hAnsi="Arial"/>
          <w:b/>
          <w:bCs/>
          <w:color w:val="2D6E8A"/>
          <w:sz w:val="28"/>
          <w:szCs w:val="28"/>
        </w:rPr>
        <w:t xml:space="preserve">5. Program C: Innovation Grant (AI/EdTech)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NTDP Innovation Grant — Deep Tech &amp; AI Startups</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Benefit</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Non-dilutive grant of 250,000 – 2,000,000 SAR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Eligibility Focus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AI, RegTech, EdTech, HealthTech, FinTech with clear Saudi societal/economic impact</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Fly GACA Positioning</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Captain Adel AI + GACA regulatory library = national aviation safety, GACA Vision 2030 alignment, reducing dependency on foreign flight training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Application Requirements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Detailed technical description of AI system, IP ownership declaration, 5-Year financial model, 2 letters of intent from potential customers/partners</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Fly GACA Target Grant</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500,000 SAR (minimum threshold for AI/EdTech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Application 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Q4 2026 — after first signed academy contract (demonstrates commercial validation)</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Application Portal</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ntdp.gov.sa – Innovation Grants module</w:t>
            </w:r>
          </w:p>
        </w:tc>
      </w:tr>
    </w:tbl>
    <w:p>
      <w:r>
        <w:t xml:space="preserve"/>
      </w:r>
    </w:p>
    <w:p>
      <w:pPr>
        <w:pStyle w:val="Heading1"/>
      </w:pPr>
      <w:r>
        <w:rPr>
          <w:rFonts w:ascii="Arial" w:cs="Arial" w:eastAsia="Arial" w:hAnsi="Arial"/>
          <w:b/>
          <w:bCs/>
          <w:color w:val="2D6E8A"/>
          <w:sz w:val="28"/>
          <w:szCs w:val="28"/>
        </w:rPr>
        <w:t xml:space="preserve">6. Application Process (All Programs)</w:t>
      </w:r>
    </w:p>
    <w:p>
      <w:pPr>
        <w:pStyle w:val="ListParagraph"/>
        <w:numPr>
          <w:ilvl w:val="0"/>
          <w:numId w:val="2"/>
        </w:numPr>
      </w:pPr>
      <w:r>
        <w:rPr>
          <w:rFonts w:ascii="Arial" w:cs="Arial" w:eastAsia="Arial" w:hAnsi="Arial"/>
          <w:b w:val="false"/>
          <w:bCs w:val="false"/>
          <w:sz w:val="22"/>
          <w:szCs w:val="22"/>
        </w:rPr>
        <w:t xml:space="preserve">Step 1: Create NTDP account at ntdp.gov.sa using CR and MISA license credentials</w:t>
      </w:r>
    </w:p>
    <w:p>
      <w:pPr>
        <w:pStyle w:val="ListParagraph"/>
        <w:numPr>
          <w:ilvl w:val="0"/>
          <w:numId w:val="2"/>
        </w:numPr>
      </w:pPr>
      <w:r>
        <w:rPr>
          <w:rFonts w:ascii="Arial" w:cs="Arial" w:eastAsia="Arial" w:hAnsi="Arial"/>
          <w:b w:val="false"/>
          <w:bCs w:val="false"/>
          <w:sz w:val="22"/>
          <w:szCs w:val="22"/>
        </w:rPr>
        <w:t xml:space="preserve">Step 2: Select program module (Tech Talent / Tech Subsidy / Innovation Grant)</w:t>
      </w:r>
    </w:p>
    <w:p>
      <w:pPr>
        <w:pStyle w:val="ListParagraph"/>
        <w:numPr>
          <w:ilvl w:val="0"/>
          <w:numId w:val="2"/>
        </w:numPr>
      </w:pPr>
      <w:r>
        <w:rPr>
          <w:rFonts w:ascii="Arial" w:cs="Arial" w:eastAsia="Arial" w:hAnsi="Arial"/>
          <w:b w:val="false"/>
          <w:bCs w:val="false"/>
          <w:sz w:val="22"/>
          <w:szCs w:val="22"/>
        </w:rPr>
        <w:t xml:space="preserve">Step 3: Complete online application form (Arabic + English)</w:t>
      </w:r>
    </w:p>
    <w:p>
      <w:pPr>
        <w:pStyle w:val="ListParagraph"/>
        <w:numPr>
          <w:ilvl w:val="0"/>
          <w:numId w:val="2"/>
        </w:numPr>
      </w:pPr>
      <w:r>
        <w:rPr>
          <w:rFonts w:ascii="Arial" w:cs="Arial" w:eastAsia="Arial" w:hAnsi="Arial"/>
          <w:b w:val="false"/>
          <w:bCs w:val="false"/>
          <w:sz w:val="22"/>
          <w:szCs w:val="22"/>
        </w:rPr>
        <w:t xml:space="preserve">Step 4: Upload: Business plan, 5-Year Financial Model, technical roadmap, founder CV, CR, MISA license, [LOI from customers for Innovation Grant]</w:t>
      </w:r>
    </w:p>
    <w:p>
      <w:pPr>
        <w:pStyle w:val="ListParagraph"/>
        <w:numPr>
          <w:ilvl w:val="0"/>
          <w:numId w:val="2"/>
        </w:numPr>
      </w:pPr>
      <w:r>
        <w:rPr>
          <w:rFonts w:ascii="Arial" w:cs="Arial" w:eastAsia="Arial" w:hAnsi="Arial"/>
          <w:b w:val="false"/>
          <w:bCs w:val="false"/>
          <w:sz w:val="22"/>
          <w:szCs w:val="22"/>
        </w:rPr>
        <w:t xml:space="preserve">Step 5: NTDP preliminary review: 2–4 weeks</w:t>
      </w:r>
    </w:p>
    <w:p>
      <w:pPr>
        <w:pStyle w:val="ListParagraph"/>
        <w:numPr>
          <w:ilvl w:val="0"/>
          <w:numId w:val="2"/>
        </w:numPr>
      </w:pPr>
      <w:r>
        <w:rPr>
          <w:rFonts w:ascii="Arial" w:cs="Arial" w:eastAsia="Arial" w:hAnsi="Arial"/>
          <w:b w:val="false"/>
          <w:bCs w:val="false"/>
          <w:sz w:val="22"/>
          <w:szCs w:val="22"/>
        </w:rPr>
        <w:t xml:space="preserve">Step 6: Technical committee evaluation: 4–8 weeks</w:t>
      </w:r>
    </w:p>
    <w:p>
      <w:pPr>
        <w:pStyle w:val="ListParagraph"/>
        <w:numPr>
          <w:ilvl w:val="0"/>
          <w:numId w:val="2"/>
        </w:numPr>
      </w:pPr>
      <w:r>
        <w:rPr>
          <w:rFonts w:ascii="Arial" w:cs="Arial" w:eastAsia="Arial" w:hAnsi="Arial"/>
          <w:b w:val="false"/>
          <w:bCs w:val="false"/>
          <w:sz w:val="22"/>
          <w:szCs w:val="22"/>
        </w:rPr>
        <w:t xml:space="preserve">Step 7: Conditional approval letter issued — sign Grant Agreement within 30 days</w:t>
      </w:r>
    </w:p>
    <w:p>
      <w:pPr>
        <w:pStyle w:val="ListParagraph"/>
        <w:numPr>
          <w:ilvl w:val="0"/>
          <w:numId w:val="2"/>
        </w:numPr>
      </w:pPr>
      <w:r>
        <w:rPr>
          <w:rFonts w:ascii="Arial" w:cs="Arial" w:eastAsia="Arial" w:hAnsi="Arial"/>
          <w:b w:val="false"/>
          <w:bCs w:val="false"/>
          <w:sz w:val="22"/>
          <w:szCs w:val="22"/>
        </w:rPr>
        <w:t xml:space="preserve">Step 8: First disbursement upon submission of required evidence (payslips for Talent; cloud invoices for Subsidy; milestone completion for Grant)</w:t>
      </w:r>
    </w:p>
    <w:p>
      <w:r>
        <w:t xml:space="preserve"/>
      </w:r>
    </w:p>
    <w:p>
      <w:pPr>
        <w:pStyle w:val="Heading1"/>
      </w:pPr>
      <w:r>
        <w:rPr>
          <w:rFonts w:ascii="Arial" w:cs="Arial" w:eastAsia="Arial" w:hAnsi="Arial"/>
          <w:b/>
          <w:bCs/>
          <w:color w:val="2D6E8A"/>
          <w:sz w:val="28"/>
          <w:szCs w:val="28"/>
        </w:rPr>
        <w:t xml:space="preserve">7. Fly GACA NTDP Strategy</w:t>
      </w:r>
    </w:p>
    <w:p>
      <w:pPr>
        <w:pStyle w:val="ListParagraph"/>
        <w:numPr>
          <w:ilvl w:val="0"/>
          <w:numId w:val="2"/>
        </w:numPr>
      </w:pPr>
      <w:r>
        <w:rPr>
          <w:rFonts w:ascii="Arial" w:cs="Arial" w:eastAsia="Arial" w:hAnsi="Arial"/>
          <w:b w:val="false"/>
          <w:bCs w:val="false"/>
          <w:sz w:val="22"/>
          <w:szCs w:val="22"/>
        </w:rPr>
        <w:t xml:space="preserve">Q3 2026: Submit Tech Subsidy application (lowest documentation burden, fastest approval)</w:t>
      </w:r>
    </w:p>
    <w:p>
      <w:pPr>
        <w:pStyle w:val="ListParagraph"/>
        <w:numPr>
          <w:ilvl w:val="0"/>
          <w:numId w:val="2"/>
        </w:numPr>
      </w:pPr>
      <w:r>
        <w:rPr>
          <w:rFonts w:ascii="Arial" w:cs="Arial" w:eastAsia="Arial" w:hAnsi="Arial"/>
          <w:b w:val="false"/>
          <w:bCs w:val="false"/>
          <w:sz w:val="22"/>
          <w:szCs w:val="22"/>
        </w:rPr>
        <w:t xml:space="preserve">Q4 2026: Submit Innovation Grant once first academy LOI/contract obtained</w:t>
      </w:r>
    </w:p>
    <w:p>
      <w:pPr>
        <w:pStyle w:val="ListParagraph"/>
        <w:numPr>
          <w:ilvl w:val="0"/>
          <w:numId w:val="2"/>
        </w:numPr>
      </w:pPr>
      <w:r>
        <w:rPr>
          <w:rFonts w:ascii="Arial" w:cs="Arial" w:eastAsia="Arial" w:hAnsi="Arial"/>
          <w:b w:val="false"/>
          <w:bCs w:val="false"/>
          <w:sz w:val="22"/>
          <w:szCs w:val="22"/>
        </w:rPr>
        <w:t xml:space="preserve">Q1 2027: Submit Tech Talent applications concurrent with first senior engineering hires</w:t>
      </w:r>
    </w:p>
    <w:p>
      <w:pPr>
        <w:pStyle w:val="ListParagraph"/>
        <w:numPr>
          <w:ilvl w:val="0"/>
          <w:numId w:val="2"/>
        </w:numPr>
      </w:pPr>
      <w:r>
        <w:rPr>
          <w:rFonts w:ascii="Arial" w:cs="Arial" w:eastAsia="Arial" w:hAnsi="Arial"/>
          <w:b w:val="false"/>
          <w:bCs w:val="false"/>
          <w:sz w:val="22"/>
          <w:szCs w:val="22"/>
        </w:rPr>
        <w:t xml:space="preserve">Aggregate potential NTDP support Year 1–2: 480K–2.68M SAR non-dilutive</w:t>
      </w:r>
    </w:p>
    <w:p>
      <w:r>
        <w:rPr>
          <w:rFonts w:ascii="Arial" w:cs="Arial" w:eastAsia="Arial" w:hAnsi="Arial"/>
          <w:sz w:val="22"/>
          <w:szCs w:val="22"/>
        </w:rPr>
        <w:t xml:space="preserve">Note: NTDP program terms and availability are subject to annual government budget cycles. Verify current program availability at ntdp.gov.sa before application. All figures above reflect program parameters as of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E8A" w:sz="4" w:space="4"/>
      </w:pBdr>
      <w:jc w:val="center"/>
    </w:pPr>
    <w:r>
      <w:rPr>
        <w:rFonts w:ascii="Arial" w:cs="Arial" w:eastAsia="Arial" w:hAnsi="Arial"/>
        <w:color w:val="888888"/>
        <w:sz w:val="16"/>
        <w:szCs w:val="16"/>
      </w:rPr>
      <w:t xml:space="preserve">Fly GACA  ·  Saudi Gov &amp; Tax  ·  Confidential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4A" w:sz="4" w:space="4"/>
      </w:pBdr>
    </w:pPr>
    <w:r>
      <w:rPr>
        <w:rFonts w:ascii="Arial" w:cs="Arial" w:eastAsia="Arial" w:hAnsi="Arial"/>
        <w:color w:val="888888"/>
        <w:sz w:val="16"/>
        <w:szCs w:val="16"/>
      </w:rPr>
      <w:t xml:space="preserve">Fly GACA  ·  Saudi Gov &amp; Tax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2026-05-05T03:23:01.912Z</dcterms:created>
  <dcterms:modified xsi:type="dcterms:W3CDTF">2026-05-05T03:23:01.912Z</dcterms:modified>
</cp:coreProperties>
</file>

<file path=docProps/custom.xml><?xml version="1.0" encoding="utf-8"?>
<Properties xmlns="http://schemas.openxmlformats.org/officeDocument/2006/custom-properties" xmlns:vt="http://schemas.openxmlformats.org/officeDocument/2006/docPropsVTypes"/>
</file>