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Mutual Non-Disclosure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Mutual Non-Disclosure Agreement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Party A — Fly GACA:</w:t>
      </w:r>
    </w:p>
    <w:p>
      <w:pPr>
        <w:pStyle w:val="ListParagraph"/>
        <w:numPr>
          <w:ilvl w:val="0"/>
          <w:numId w:val="2"/>
        </w:numPr>
        <w:spacing w:after="40" w:before="40"/>
      </w:pPr>
      <w:r>
        <w:rPr>
          <w:rFonts w:ascii="Arial" w:cs="Arial" w:eastAsia="Arial" w:hAnsi="Arial"/>
          <w:sz w:val="22"/>
          <w:szCs w:val="22"/>
        </w:rPr>
        <w:t xml:space="preserve">Legal Name: Fly GACA Saudi Arabia (LLC)</w:t>
      </w:r>
    </w:p>
    <w:p>
      <w:pPr>
        <w:pStyle w:val="ListParagraph"/>
        <w:numPr>
          <w:ilvl w:val="0"/>
          <w:numId w:val="2"/>
        </w:numPr>
        <w:spacing w:after="40" w:before="40"/>
      </w:pPr>
      <w:r>
        <w:rPr>
          <w:rFonts w:ascii="Arial" w:cs="Arial" w:eastAsia="Arial" w:hAnsi="Arial"/>
          <w:sz w:val="22"/>
          <w:szCs w:val="22"/>
        </w:rPr>
        <w:t xml:space="preserve">CR No.: [CR_NUMBER]</w:t>
      </w:r>
    </w:p>
    <w:p>
      <w:pPr>
        <w:pStyle w:val="ListParagraph"/>
        <w:numPr>
          <w:ilvl w:val="0"/>
          <w:numId w:val="2"/>
        </w:numPr>
        <w:spacing w:after="40" w:before="40"/>
      </w:pPr>
      <w:r>
        <w:rPr>
          <w:rFonts w:ascii="Arial" w:cs="Arial" w:eastAsia="Arial" w:hAnsi="Arial"/>
          <w:sz w:val="22"/>
          <w:szCs w:val="22"/>
        </w:rPr>
        <w:t xml:space="preserve">Registered Address: [COMPANY_ADDRESS],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pStyle w:val="ListParagraph"/>
        <w:numPr>
          <w:ilvl w:val="0"/>
          <w:numId w:val="2"/>
        </w:numPr>
        <w:spacing w:after="40" w:before="40"/>
      </w:pPr>
      <w:r>
        <w:rPr>
          <w:rFonts w:ascii="Arial" w:cs="Arial" w:eastAsia="Arial" w:hAnsi="Arial"/>
          <w:sz w:val="22"/>
          <w:szCs w:val="22"/>
        </w:rPr>
        <w:t xml:space="preserve">Email: i@flygaca.com</w:t>
      </w:r>
    </w:p>
    <w:p>
      <w:pPr>
        <w:spacing w:after="80" w:before="80"/>
      </w:pPr>
      <w:r>
        <w:t xml:space="preserve"/>
      </w:r>
    </w:p>
    <w:p>
      <w:pPr>
        <w:spacing w:after="60" w:before="60"/>
      </w:pPr>
      <w:r>
        <w:rPr>
          <w:rFonts w:ascii="Arial" w:cs="Arial" w:eastAsia="Arial" w:hAnsi="Arial"/>
          <w:b/>
          <w:bCs/>
          <w:sz w:val="22"/>
          <w:szCs w:val="22"/>
        </w:rPr>
        <w:t xml:space="preserve">Party B — Counterparty:</w:t>
      </w:r>
    </w:p>
    <w:p>
      <w:pPr>
        <w:pStyle w:val="ListParagraph"/>
        <w:numPr>
          <w:ilvl w:val="0"/>
          <w:numId w:val="2"/>
        </w:numPr>
        <w:spacing w:after="40" w:before="40"/>
      </w:pPr>
      <w:r>
        <w:rPr>
          <w:rFonts w:ascii="Arial" w:cs="Arial" w:eastAsia="Arial" w:hAnsi="Arial"/>
          <w:sz w:val="22"/>
          <w:szCs w:val="22"/>
        </w:rPr>
        <w:t xml:space="preserve">Legal Name: [COUNTERPARTY_FULL_LEGAL_NAME]</w:t>
      </w:r>
    </w:p>
    <w:p>
      <w:pPr>
        <w:pStyle w:val="ListParagraph"/>
        <w:numPr>
          <w:ilvl w:val="0"/>
          <w:numId w:val="2"/>
        </w:numPr>
        <w:spacing w:after="40" w:before="40"/>
      </w:pPr>
      <w:r>
        <w:rPr>
          <w:rFonts w:ascii="Arial" w:cs="Arial" w:eastAsia="Arial" w:hAnsi="Arial"/>
          <w:sz w:val="22"/>
          <w:szCs w:val="22"/>
        </w:rPr>
        <w:t xml:space="preserve">Registration / ID No.: [COUNTERPARTY_REG_NO]</w:t>
      </w:r>
    </w:p>
    <w:p>
      <w:pPr>
        <w:pStyle w:val="ListParagraph"/>
        <w:numPr>
          <w:ilvl w:val="0"/>
          <w:numId w:val="2"/>
        </w:numPr>
        <w:spacing w:after="40" w:before="40"/>
      </w:pPr>
      <w:r>
        <w:rPr>
          <w:rFonts w:ascii="Arial" w:cs="Arial" w:eastAsia="Arial" w:hAnsi="Arial"/>
          <w:sz w:val="22"/>
          <w:szCs w:val="22"/>
        </w:rPr>
        <w:t xml:space="preserve">Registered Address: [COUNTERPARTY_ADDRESS]</w:t>
      </w:r>
    </w:p>
    <w:p>
      <w:pPr>
        <w:pStyle w:val="ListParagraph"/>
        <w:numPr>
          <w:ilvl w:val="0"/>
          <w:numId w:val="2"/>
        </w:numPr>
        <w:spacing w:after="40" w:before="40"/>
      </w:pPr>
      <w:r>
        <w:rPr>
          <w:rFonts w:ascii="Arial" w:cs="Arial" w:eastAsia="Arial" w:hAnsi="Arial"/>
          <w:sz w:val="22"/>
          <w:szCs w:val="22"/>
        </w:rPr>
        <w:t xml:space="preserve">Represented by: [COUNTERPARTY_SIGNATORY_NAME], [COUNTERPARTY_SIGNATORY_TITLE]</w:t>
      </w:r>
    </w:p>
    <w:p>
      <w:pPr>
        <w:pStyle w:val="ListParagraph"/>
        <w:numPr>
          <w:ilvl w:val="0"/>
          <w:numId w:val="2"/>
        </w:numPr>
        <w:spacing w:after="40" w:before="40"/>
      </w:pPr>
      <w:r>
        <w:rPr>
          <w:rFonts w:ascii="Arial" w:cs="Arial" w:eastAsia="Arial" w:hAnsi="Arial"/>
          <w:sz w:val="22"/>
          <w:szCs w:val="22"/>
        </w:rPr>
        <w:t xml:space="preserve">Email: [COUNTERPARTY_EMAIL]</w:t>
      </w:r>
    </w:p>
    <w:p>
      <w:pPr>
        <w:spacing w:after="80" w:before="80"/>
      </w:pPr>
      <w:r>
        <w:t xml:space="preserve"/>
      </w:r>
    </w:p>
    <w:p>
      <w:pPr>
        <w:spacing w:after="60" w:before="60"/>
      </w:pPr>
      <w:r>
        <w:rPr>
          <w:rFonts w:ascii="Arial" w:cs="Arial" w:eastAsia="Arial" w:hAnsi="Arial"/>
          <w:sz w:val="22"/>
          <w:szCs w:val="22"/>
        </w:rPr>
        <w:t xml:space="preserve">Purpose of Disclosure: The Parties intend to explore a potential [PARTNERSHIP / INVESTMENT / COMMERCIAL RELATIONSHIP] related to Fly GACA aviation EdTech platform (the "Purpose"). Each Party may both disclose and receive Confidential Information under this Agreement.</w:t>
      </w:r>
    </w:p>
    <w:p>
      <w:r>
        <w:br w:type="page"/>
      </w:r>
    </w:p>
    <w:p>
      <w:pPr>
        <w:pStyle w:val="Heading1"/>
        <w:spacing w:after="120" w:before="300"/>
      </w:pPr>
      <w:r>
        <w:rPr>
          <w:rFonts w:ascii="Arial" w:cs="Arial" w:eastAsia="Arial" w:hAnsi="Arial"/>
          <w:b/>
          <w:bCs/>
          <w:color w:val="2D6E8A"/>
          <w:sz w:val="28"/>
          <w:szCs w:val="28"/>
        </w:rPr>
        <w:t xml:space="preserve">2. Definition of Confidential Information</w:t>
      </w:r>
    </w:p>
    <w:p>
      <w:pPr>
        <w:spacing w:after="60" w:before="60"/>
      </w:pPr>
      <w:r>
        <w:rPr>
          <w:rFonts w:ascii="Arial" w:cs="Arial" w:eastAsia="Arial" w:hAnsi="Arial"/>
          <w:sz w:val="22"/>
          <w:szCs w:val="22"/>
        </w:rPr>
        <w:t xml:space="preserve">"Confidential Information" means any information or data disclosed by either Party (the "Disclosing Party") to the other (the "Receiving Party"), whether oral, written, electronic, or visual, that is designated as confidential or that would reasonably be understood to be confidential given the nature of the information and circumstances of disclosure. Includes without limitation:</w:t>
      </w:r>
    </w:p>
    <w:p>
      <w:pPr>
        <w:pStyle w:val="ListParagraph"/>
        <w:numPr>
          <w:ilvl w:val="0"/>
          <w:numId w:val="2"/>
        </w:numPr>
        <w:spacing w:after="40" w:before="40"/>
      </w:pPr>
      <w:r>
        <w:rPr>
          <w:rFonts w:ascii="Arial" w:cs="Arial" w:eastAsia="Arial" w:hAnsi="Arial"/>
          <w:sz w:val="22"/>
          <w:szCs w:val="22"/>
        </w:rPr>
        <w:t xml:space="preserve">Business plans, financial projections, investor materials, and cap tables</w:t>
      </w:r>
    </w:p>
    <w:p>
      <w:pPr>
        <w:pStyle w:val="ListParagraph"/>
        <w:numPr>
          <w:ilvl w:val="0"/>
          <w:numId w:val="2"/>
        </w:numPr>
        <w:spacing w:after="40" w:before="40"/>
      </w:pPr>
      <w:r>
        <w:rPr>
          <w:rFonts w:ascii="Arial" w:cs="Arial" w:eastAsia="Arial" w:hAnsi="Arial"/>
          <w:sz w:val="22"/>
          <w:szCs w:val="22"/>
        </w:rPr>
        <w:t xml:space="preserve">Source code, AI architecture, GACAR library ingestion methodology, and Captain Adel persona design</w:t>
      </w:r>
    </w:p>
    <w:p>
      <w:pPr>
        <w:pStyle w:val="ListParagraph"/>
        <w:numPr>
          <w:ilvl w:val="0"/>
          <w:numId w:val="2"/>
        </w:numPr>
        <w:spacing w:after="40" w:before="40"/>
      </w:pPr>
      <w:r>
        <w:rPr>
          <w:rFonts w:ascii="Arial" w:cs="Arial" w:eastAsia="Arial" w:hAnsi="Arial"/>
          <w:sz w:val="22"/>
          <w:szCs w:val="22"/>
        </w:rPr>
        <w:t xml:space="preserve">Customer lists, pricing, marketing strategies, and product roadmaps</w:t>
      </w:r>
    </w:p>
    <w:p>
      <w:pPr>
        <w:pStyle w:val="ListParagraph"/>
        <w:numPr>
          <w:ilvl w:val="0"/>
          <w:numId w:val="2"/>
        </w:numPr>
        <w:spacing w:after="40" w:before="40"/>
      </w:pPr>
      <w:r>
        <w:rPr>
          <w:rFonts w:ascii="Arial" w:cs="Arial" w:eastAsia="Arial" w:hAnsi="Arial"/>
          <w:sz w:val="22"/>
          <w:szCs w:val="22"/>
        </w:rPr>
        <w:t xml:space="preserve">Partnership terms, strategic plans, and investor target lists</w:t>
      </w:r>
    </w:p>
    <w:p>
      <w:pPr>
        <w:pStyle w:val="ListParagraph"/>
        <w:numPr>
          <w:ilvl w:val="0"/>
          <w:numId w:val="2"/>
        </w:numPr>
        <w:spacing w:after="40" w:before="40"/>
      </w:pPr>
      <w:r>
        <w:rPr>
          <w:rFonts w:ascii="Arial" w:cs="Arial" w:eastAsia="Arial" w:hAnsi="Arial"/>
          <w:sz w:val="22"/>
          <w:szCs w:val="22"/>
        </w:rPr>
        <w:t xml:space="preserve">Personal data governed by Saudi PDPL (Royal Decree M/19)</w:t>
      </w:r>
    </w:p>
    <w:p>
      <w:r>
        <w:br w:type="page"/>
      </w:r>
    </w:p>
    <w:p>
      <w:pPr>
        <w:pStyle w:val="Heading1"/>
        <w:spacing w:after="120" w:before="300"/>
      </w:pPr>
      <w:r>
        <w:rPr>
          <w:rFonts w:ascii="Arial" w:cs="Arial" w:eastAsia="Arial" w:hAnsi="Arial"/>
          <w:b/>
          <w:bCs/>
          <w:color w:val="2D6E8A"/>
          <w:sz w:val="28"/>
          <w:szCs w:val="28"/>
        </w:rPr>
        <w:t xml:space="preserve">3. Exceptions</w:t>
      </w:r>
    </w:p>
    <w:p>
      <w:pPr>
        <w:spacing w:after="60" w:before="60"/>
      </w:pPr>
      <w:r>
        <w:rPr>
          <w:rFonts w:ascii="Arial" w:cs="Arial" w:eastAsia="Arial" w:hAnsi="Arial"/>
          <w:sz w:val="22"/>
          <w:szCs w:val="22"/>
        </w:rPr>
        <w:t xml:space="preserve">Obligations do not apply to information that the Receiving Party demonstrates:</w:t>
      </w:r>
    </w:p>
    <w:p>
      <w:pPr>
        <w:pStyle w:val="ListParagraph"/>
        <w:numPr>
          <w:ilvl w:val="0"/>
          <w:numId w:val="2"/>
        </w:numPr>
        <w:spacing w:after="40" w:before="40"/>
      </w:pPr>
      <w:r>
        <w:rPr>
          <w:rFonts w:ascii="Arial" w:cs="Arial" w:eastAsia="Arial" w:hAnsi="Arial"/>
          <w:sz w:val="22"/>
          <w:szCs w:val="22"/>
        </w:rPr>
        <w:t xml:space="preserve">Was or becomes publicly known through no breach by the Receiving Party</w:t>
      </w:r>
    </w:p>
    <w:p>
      <w:pPr>
        <w:pStyle w:val="ListParagraph"/>
        <w:numPr>
          <w:ilvl w:val="0"/>
          <w:numId w:val="2"/>
        </w:numPr>
        <w:spacing w:after="40" w:before="40"/>
      </w:pPr>
      <w:r>
        <w:rPr>
          <w:rFonts w:ascii="Arial" w:cs="Arial" w:eastAsia="Arial" w:hAnsi="Arial"/>
          <w:sz w:val="22"/>
          <w:szCs w:val="22"/>
        </w:rPr>
        <w:t xml:space="preserve">Was rightfully known to the Receiving Party without restriction before the Effective Date</w:t>
      </w:r>
    </w:p>
    <w:p>
      <w:pPr>
        <w:pStyle w:val="ListParagraph"/>
        <w:numPr>
          <w:ilvl w:val="0"/>
          <w:numId w:val="2"/>
        </w:numPr>
        <w:spacing w:after="40" w:before="40"/>
      </w:pPr>
      <w:r>
        <w:rPr>
          <w:rFonts w:ascii="Arial" w:cs="Arial" w:eastAsia="Arial" w:hAnsi="Arial"/>
          <w:sz w:val="22"/>
          <w:szCs w:val="22"/>
        </w:rPr>
        <w:t xml:space="preserve">Is independently developed by the Receiving Party without use of Confidential Information</w:t>
      </w:r>
    </w:p>
    <w:p>
      <w:pPr>
        <w:pStyle w:val="ListParagraph"/>
        <w:numPr>
          <w:ilvl w:val="0"/>
          <w:numId w:val="2"/>
        </w:numPr>
        <w:spacing w:after="40" w:before="40"/>
      </w:pPr>
      <w:r>
        <w:rPr>
          <w:rFonts w:ascii="Arial" w:cs="Arial" w:eastAsia="Arial" w:hAnsi="Arial"/>
          <w:sz w:val="22"/>
          <w:szCs w:val="22"/>
        </w:rPr>
        <w:t xml:space="preserve">Is lawfully received from a third party without restriction on disclosure</w:t>
      </w:r>
    </w:p>
    <w:p>
      <w:pPr>
        <w:pStyle w:val="ListParagraph"/>
        <w:numPr>
          <w:ilvl w:val="0"/>
          <w:numId w:val="2"/>
        </w:numPr>
        <w:spacing w:after="40" w:before="40"/>
      </w:pPr>
      <w:r>
        <w:rPr>
          <w:rFonts w:ascii="Arial" w:cs="Arial" w:eastAsia="Arial" w:hAnsi="Arial"/>
          <w:sz w:val="22"/>
          <w:szCs w:val="22"/>
        </w:rPr>
        <w:t xml:space="preserve">Is required to be disclosed by law or court order, provided the Receiving Party gives prompt written notice and cooperates in seeking a protective order</w:t>
      </w:r>
    </w:p>
    <w:p>
      <w:r>
        <w:br w:type="page"/>
      </w:r>
    </w:p>
    <w:p>
      <w:pPr>
        <w:pStyle w:val="Heading1"/>
        <w:spacing w:after="120" w:before="300"/>
      </w:pPr>
      <w:r>
        <w:rPr>
          <w:rFonts w:ascii="Arial" w:cs="Arial" w:eastAsia="Arial" w:hAnsi="Arial"/>
          <w:b/>
          <w:bCs/>
          <w:color w:val="2D6E8A"/>
          <w:sz w:val="28"/>
          <w:szCs w:val="28"/>
        </w:rPr>
        <w:t xml:space="preserve">4. Obligations of the Receiving Party</w:t>
      </w:r>
    </w:p>
    <w:p>
      <w:pPr>
        <w:pStyle w:val="Heading2"/>
        <w:spacing w:after="80" w:before="200"/>
      </w:pPr>
      <w:r>
        <w:rPr>
          <w:rFonts w:ascii="Arial" w:cs="Arial" w:eastAsia="Arial" w:hAnsi="Arial"/>
          <w:b/>
          <w:bCs/>
          <w:color w:val="0A0E12"/>
          <w:sz w:val="24"/>
          <w:szCs w:val="24"/>
        </w:rPr>
        <w:t xml:space="preserve">4.1 Non-Disclosure</w:t>
      </w:r>
    </w:p>
    <w:p>
      <w:pPr>
        <w:spacing w:after="60" w:before="60"/>
      </w:pPr>
      <w:r>
        <w:rPr>
          <w:rFonts w:ascii="Arial" w:cs="Arial" w:eastAsia="Arial" w:hAnsi="Arial"/>
          <w:sz w:val="22"/>
          <w:szCs w:val="22"/>
        </w:rPr>
        <w:t xml:space="preserve">Each Receiving Party shall hold Confidential Information in strict confidence and shall not disclose it to any third party without the Disclosing Party prior written consent.</w:t>
      </w:r>
    </w:p>
    <w:p>
      <w:pPr>
        <w:pStyle w:val="Heading2"/>
        <w:spacing w:after="80" w:before="200"/>
      </w:pPr>
      <w:r>
        <w:rPr>
          <w:rFonts w:ascii="Arial" w:cs="Arial" w:eastAsia="Arial" w:hAnsi="Arial"/>
          <w:b/>
          <w:bCs/>
          <w:color w:val="0A0E12"/>
          <w:sz w:val="24"/>
          <w:szCs w:val="24"/>
        </w:rPr>
        <w:t xml:space="preserve">4.2 Use Limitation</w:t>
      </w:r>
    </w:p>
    <w:p>
      <w:pPr>
        <w:spacing w:after="60" w:before="60"/>
      </w:pPr>
      <w:r>
        <w:rPr>
          <w:rFonts w:ascii="Arial" w:cs="Arial" w:eastAsia="Arial" w:hAnsi="Arial"/>
          <w:sz w:val="22"/>
          <w:szCs w:val="22"/>
        </w:rPr>
        <w:t xml:space="preserve">Each Receiving Party shall use Confidential Information solely for the Purpose.</w:t>
      </w:r>
    </w:p>
    <w:p>
      <w:pPr>
        <w:pStyle w:val="Heading2"/>
        <w:spacing w:after="80" w:before="200"/>
      </w:pPr>
      <w:r>
        <w:rPr>
          <w:rFonts w:ascii="Arial" w:cs="Arial" w:eastAsia="Arial" w:hAnsi="Arial"/>
          <w:b/>
          <w:bCs/>
          <w:color w:val="0A0E12"/>
          <w:sz w:val="24"/>
          <w:szCs w:val="24"/>
        </w:rPr>
        <w:t xml:space="preserve">4.3 Protection Standard</w:t>
      </w:r>
    </w:p>
    <w:p>
      <w:pPr>
        <w:spacing w:after="60" w:before="60"/>
      </w:pPr>
      <w:r>
        <w:rPr>
          <w:rFonts w:ascii="Arial" w:cs="Arial" w:eastAsia="Arial" w:hAnsi="Arial"/>
          <w:sz w:val="22"/>
          <w:szCs w:val="22"/>
        </w:rPr>
        <w:t xml:space="preserve">Each Receiving Party shall protect Confidential Information with at least the same care it uses for its own most sensitive proprietary information, no less than reasonable care.</w:t>
      </w:r>
    </w:p>
    <w:p>
      <w:pPr>
        <w:pStyle w:val="Heading2"/>
        <w:spacing w:after="80" w:before="200"/>
      </w:pPr>
      <w:r>
        <w:rPr>
          <w:rFonts w:ascii="Arial" w:cs="Arial" w:eastAsia="Arial" w:hAnsi="Arial"/>
          <w:b/>
          <w:bCs/>
          <w:color w:val="0A0E12"/>
          <w:sz w:val="24"/>
          <w:szCs w:val="24"/>
        </w:rPr>
        <w:t xml:space="preserve">4.4 Permitted Disclosures</w:t>
      </w:r>
    </w:p>
    <w:p>
      <w:pPr>
        <w:spacing w:after="60" w:before="60"/>
      </w:pPr>
      <w:r>
        <w:rPr>
          <w:rFonts w:ascii="Arial" w:cs="Arial" w:eastAsia="Arial" w:hAnsi="Arial"/>
          <w:sz w:val="22"/>
          <w:szCs w:val="22"/>
        </w:rPr>
        <w:t xml:space="preserve">Disclosure permitted to employees and professional advisers who: (a) have a need to know for the Purpose; (b) are informed of the confidential nature; and (c) are bound by equivalent confidentiality obligations.</w:t>
      </w:r>
    </w:p>
    <w:p>
      <w:pPr>
        <w:pStyle w:val="Heading2"/>
        <w:spacing w:after="80" w:before="200"/>
      </w:pPr>
      <w:r>
        <w:rPr>
          <w:rFonts w:ascii="Arial" w:cs="Arial" w:eastAsia="Arial" w:hAnsi="Arial"/>
          <w:b/>
          <w:bCs/>
          <w:color w:val="0A0E12"/>
          <w:sz w:val="24"/>
          <w:szCs w:val="24"/>
        </w:rPr>
        <w:t xml:space="preserve">4.5 Notice of Breach</w:t>
      </w:r>
    </w:p>
    <w:p>
      <w:pPr>
        <w:spacing w:after="60" w:before="60"/>
      </w:pPr>
      <w:r>
        <w:rPr>
          <w:rFonts w:ascii="Arial" w:cs="Arial" w:eastAsia="Arial" w:hAnsi="Arial"/>
          <w:sz w:val="22"/>
          <w:szCs w:val="22"/>
        </w:rPr>
        <w:t xml:space="preserve">Each Receiving Party shall promptly notify the Disclosing Party of any actual or suspected unauthorized disclosure.</w:t>
      </w:r>
    </w:p>
    <w:p>
      <w:r>
        <w:br w:type="page"/>
      </w:r>
    </w:p>
    <w:p>
      <w:pPr>
        <w:pStyle w:val="Heading1"/>
        <w:spacing w:after="120" w:before="300"/>
      </w:pPr>
      <w:r>
        <w:rPr>
          <w:rFonts w:ascii="Arial" w:cs="Arial" w:eastAsia="Arial" w:hAnsi="Arial"/>
          <w:b/>
          <w:bCs/>
          <w:color w:val="2D6E8A"/>
          <w:sz w:val="28"/>
          <w:szCs w:val="28"/>
        </w:rPr>
        <w:t xml:space="preserve">5. Term</w:t>
      </w:r>
    </w:p>
    <w:p>
      <w:pPr>
        <w:pStyle w:val="ListParagraph"/>
        <w:numPr>
          <w:ilvl w:val="0"/>
          <w:numId w:val="2"/>
        </w:numPr>
        <w:spacing w:after="40" w:before="40"/>
      </w:pPr>
      <w:r>
        <w:rPr>
          <w:rFonts w:ascii="Arial" w:cs="Arial" w:eastAsia="Arial" w:hAnsi="Arial"/>
          <w:sz w:val="22"/>
          <w:szCs w:val="22"/>
        </w:rPr>
        <w:t xml:space="preserve">General Confidential Information: three (3) years from the Effective Date</w:t>
      </w:r>
    </w:p>
    <w:p>
      <w:pPr>
        <w:pStyle w:val="ListParagraph"/>
        <w:numPr>
          <w:ilvl w:val="0"/>
          <w:numId w:val="2"/>
        </w:numPr>
        <w:spacing w:after="40" w:before="40"/>
      </w:pPr>
      <w:r>
        <w:rPr>
          <w:rFonts w:ascii="Arial" w:cs="Arial" w:eastAsia="Arial" w:hAnsi="Arial"/>
          <w:sz w:val="22"/>
          <w:szCs w:val="22"/>
        </w:rPr>
        <w:t xml:space="preserve">Trade secrets (technical architecture, AI design, GACAR indexing): five (5) years from the Effective Date</w:t>
      </w:r>
    </w:p>
    <w:p>
      <w:pPr>
        <w:pStyle w:val="ListParagraph"/>
        <w:numPr>
          <w:ilvl w:val="0"/>
          <w:numId w:val="2"/>
        </w:numPr>
        <w:spacing w:after="40" w:before="40"/>
      </w:pPr>
      <w:r>
        <w:rPr>
          <w:rFonts w:ascii="Arial" w:cs="Arial" w:eastAsia="Arial" w:hAnsi="Arial"/>
          <w:sz w:val="22"/>
          <w:szCs w:val="22"/>
        </w:rPr>
        <w:t xml:space="preserve">Personal data under Saudi PDPL: indefinitely until data is destroyed or returned as required by PDPL</w:t>
      </w:r>
    </w:p>
    <w:p>
      <w:pPr>
        <w:spacing w:after="60" w:before="60"/>
      </w:pPr>
      <w:r>
        <w:rPr>
          <w:rFonts w:ascii="Arial" w:cs="Arial" w:eastAsia="Arial" w:hAnsi="Arial"/>
          <w:sz w:val="22"/>
          <w:szCs w:val="22"/>
        </w:rPr>
        <w:t xml:space="preserve">Either Party may terminate upon thirty (30) days written notice; obligations for previously disclosed information survive as above.</w:t>
      </w:r>
    </w:p>
    <w:p>
      <w:r>
        <w:br w:type="page"/>
      </w:r>
    </w:p>
    <w:p>
      <w:pPr>
        <w:pStyle w:val="Heading1"/>
        <w:spacing w:after="120" w:before="300"/>
      </w:pPr>
      <w:r>
        <w:rPr>
          <w:rFonts w:ascii="Arial" w:cs="Arial" w:eastAsia="Arial" w:hAnsi="Arial"/>
          <w:b/>
          <w:bCs/>
          <w:color w:val="2D6E8A"/>
          <w:sz w:val="28"/>
          <w:szCs w:val="28"/>
        </w:rPr>
        <w:t xml:space="preserve">6. No Solicitation of Personnel (12 Months)</w:t>
      </w:r>
    </w:p>
    <w:p>
      <w:pPr>
        <w:spacing w:after="60" w:before="60"/>
      </w:pPr>
      <w:r>
        <w:rPr>
          <w:rFonts w:ascii="Arial" w:cs="Arial" w:eastAsia="Arial" w:hAnsi="Arial"/>
          <w:sz w:val="22"/>
          <w:szCs w:val="22"/>
        </w:rPr>
        <w:t xml:space="preserve">During the term and for twelve (12) months after expiration or termination, neither Party shall directly or indirectly solicit, recruit, or hire any employee, officer, or contractor of the other Party introduced in connection with the Purpose, without prior written consent.</w:t>
      </w:r>
    </w:p>
    <w:p>
      <w:r>
        <w:br w:type="page"/>
      </w:r>
    </w:p>
    <w:p>
      <w:pPr>
        <w:pStyle w:val="Heading1"/>
        <w:spacing w:after="120" w:before="300"/>
      </w:pPr>
      <w:r>
        <w:rPr>
          <w:rFonts w:ascii="Arial" w:cs="Arial" w:eastAsia="Arial" w:hAnsi="Arial"/>
          <w:b/>
          <w:bCs/>
          <w:color w:val="2D6E8A"/>
          <w:sz w:val="28"/>
          <w:szCs w:val="28"/>
        </w:rPr>
        <w:t xml:space="preserve">7. No License; No Obligation to Transact</w:t>
      </w:r>
    </w:p>
    <w:p>
      <w:pPr>
        <w:spacing w:after="60" w:before="60"/>
      </w:pPr>
      <w:r>
        <w:rPr>
          <w:rFonts w:ascii="Arial" w:cs="Arial" w:eastAsia="Arial" w:hAnsi="Arial"/>
          <w:sz w:val="22"/>
          <w:szCs w:val="22"/>
        </w:rPr>
        <w:t xml:space="preserve">This Agreement grants no license or IP rights of any kind. Neither Party is obligated to enter into any transaction or further agreement. All Confidential Information is provided "as is" without warranty.</w:t>
      </w:r>
    </w:p>
    <w:p>
      <w:r>
        <w:br w:type="page"/>
      </w:r>
    </w:p>
    <w:p>
      <w:pPr>
        <w:pStyle w:val="Heading1"/>
        <w:spacing w:after="120" w:before="300"/>
      </w:pPr>
      <w:r>
        <w:rPr>
          <w:rFonts w:ascii="Arial" w:cs="Arial" w:eastAsia="Arial" w:hAnsi="Arial"/>
          <w:b/>
          <w:bCs/>
          <w:color w:val="2D6E8A"/>
          <w:sz w:val="28"/>
          <w:szCs w:val="28"/>
        </w:rPr>
        <w:t xml:space="preserve">8. Return and Destruction</w:t>
      </w:r>
    </w:p>
    <w:p>
      <w:pPr>
        <w:spacing w:after="60" w:before="60"/>
      </w:pPr>
      <w:r>
        <w:rPr>
          <w:rFonts w:ascii="Arial" w:cs="Arial" w:eastAsia="Arial" w:hAnsi="Arial"/>
          <w:sz w:val="22"/>
          <w:szCs w:val="22"/>
        </w:rPr>
        <w:t xml:space="preserve">Upon Disclosing Party request or Agreement termination: Receiving Party shall return or destroy all tangible and digital materials containing Confidential Information; delete all copies from all storage; and certify completion in writing within ten (10) business days. One archival copy may be retained by legal counsel for compliance purposes.</w:t>
      </w:r>
    </w:p>
    <w:p>
      <w:r>
        <w:br w:type="page"/>
      </w:r>
    </w:p>
    <w:p>
      <w:pPr>
        <w:pStyle w:val="Heading1"/>
        <w:spacing w:after="120" w:before="300"/>
      </w:pPr>
      <w:r>
        <w:rPr>
          <w:rFonts w:ascii="Arial" w:cs="Arial" w:eastAsia="Arial" w:hAnsi="Arial"/>
          <w:b/>
          <w:bCs/>
          <w:color w:val="2D6E8A"/>
          <w:sz w:val="28"/>
          <w:szCs w:val="28"/>
        </w:rPr>
        <w:t xml:space="preserve">9. Equitable Remedies</w:t>
      </w:r>
    </w:p>
    <w:p>
      <w:pPr>
        <w:spacing w:after="60" w:before="60"/>
      </w:pPr>
      <w:r>
        <w:rPr>
          <w:rFonts w:ascii="Arial" w:cs="Arial" w:eastAsia="Arial" w:hAnsi="Arial"/>
          <w:sz w:val="22"/>
          <w:szCs w:val="22"/>
        </w:rPr>
        <w:t xml:space="preserve">Each Party acknowledges breach may cause irreparable harm inadequately compensated by monetary damages. Accordingly, the Disclosing Party may seek injunctive or equitable relief from any competent Saudi court without posting bond, in addition to all other available remedies.</w:t>
      </w:r>
    </w:p>
    <w:p>
      <w:r>
        <w:br w:type="page"/>
      </w:r>
    </w:p>
    <w:p>
      <w:pPr>
        <w:pStyle w:val="Heading1"/>
        <w:spacing w:after="120" w:before="300"/>
      </w:pPr>
      <w:r>
        <w:rPr>
          <w:rFonts w:ascii="Arial" w:cs="Arial" w:eastAsia="Arial" w:hAnsi="Arial"/>
          <w:b/>
          <w:bCs/>
          <w:color w:val="2D6E8A"/>
          <w:sz w:val="28"/>
          <w:szCs w:val="28"/>
        </w:rPr>
        <w:t xml:space="preserve">10. Governing Law and Dispute Resolution</w:t>
      </w:r>
    </w:p>
    <w:p>
      <w:pPr>
        <w:spacing w:after="60" w:before="60"/>
      </w:pPr>
      <w:r>
        <w:rPr>
          <w:rFonts w:ascii="Arial" w:cs="Arial" w:eastAsia="Arial" w:hAnsi="Arial"/>
          <w:sz w:val="22"/>
          <w:szCs w:val="22"/>
        </w:rPr>
        <w:t xml:space="preserve">Governed by Saudi law. Disputes resolved by: (1) good faith negotiation within 15 days; (2) non-binding SCCA mediation; (3) final binding SCCA arbitration, seat Riyadh, sole arbitrator, Arabic/English.</w:t>
      </w:r>
    </w:p>
    <w:p>
      <w:r>
        <w:br w:type="page"/>
      </w:r>
    </w:p>
    <w:p>
      <w:pPr>
        <w:pStyle w:val="Heading1"/>
        <w:spacing w:after="120" w:before="300"/>
      </w:pPr>
      <w:r>
        <w:rPr>
          <w:rFonts w:ascii="Arial" w:cs="Arial" w:eastAsia="Arial" w:hAnsi="Arial"/>
          <w:b/>
          <w:bCs/>
          <w:color w:val="2D6E8A"/>
          <w:sz w:val="28"/>
          <w:szCs w:val="28"/>
        </w:rPr>
        <w:t xml:space="preserve">11. General Provisions</w:t>
      </w:r>
    </w:p>
    <w:p>
      <w:pPr>
        <w:pStyle w:val="ListParagraph"/>
        <w:numPr>
          <w:ilvl w:val="0"/>
          <w:numId w:val="2"/>
        </w:numPr>
        <w:spacing w:after="40" w:before="40"/>
      </w:pPr>
      <w:r>
        <w:rPr>
          <w:rFonts w:ascii="Arial" w:cs="Arial" w:eastAsia="Arial" w:hAnsi="Arial"/>
          <w:sz w:val="22"/>
          <w:szCs w:val="22"/>
        </w:rPr>
        <w:t xml:space="preserve">Entire Agreement: constitutes complete agreement on subject matter, superseding all prior understandings</w:t>
      </w:r>
    </w:p>
    <w:p>
      <w:pPr>
        <w:pStyle w:val="ListParagraph"/>
        <w:numPr>
          <w:ilvl w:val="0"/>
          <w:numId w:val="2"/>
        </w:numPr>
        <w:spacing w:after="40" w:before="40"/>
      </w:pPr>
      <w:r>
        <w:rPr>
          <w:rFonts w:ascii="Arial" w:cs="Arial" w:eastAsia="Arial" w:hAnsi="Arial"/>
          <w:sz w:val="22"/>
          <w:szCs w:val="22"/>
        </w:rPr>
        <w:t xml:space="preserve">Amendments: must be in writing signed by authorized representatives</w:t>
      </w:r>
    </w:p>
    <w:p>
      <w:pPr>
        <w:pStyle w:val="ListParagraph"/>
        <w:numPr>
          <w:ilvl w:val="0"/>
          <w:numId w:val="2"/>
        </w:numPr>
        <w:spacing w:after="40" w:before="40"/>
      </w:pPr>
      <w:r>
        <w:rPr>
          <w:rFonts w:ascii="Arial" w:cs="Arial" w:eastAsia="Arial" w:hAnsi="Arial"/>
          <w:sz w:val="22"/>
          <w:szCs w:val="22"/>
        </w:rPr>
        <w:t xml:space="preserve">Severability: unenforceable provisions modified to minimum enforceable scope</w:t>
      </w:r>
    </w:p>
    <w:p>
      <w:pPr>
        <w:pStyle w:val="ListParagraph"/>
        <w:numPr>
          <w:ilvl w:val="0"/>
          <w:numId w:val="2"/>
        </w:numPr>
        <w:spacing w:after="40" w:before="40"/>
      </w:pPr>
      <w:r>
        <w:rPr>
          <w:rFonts w:ascii="Arial" w:cs="Arial" w:eastAsia="Arial" w:hAnsi="Arial"/>
          <w:sz w:val="22"/>
          <w:szCs w:val="22"/>
        </w:rPr>
        <w:t xml:space="preserve">Counterparts: may be executed in counterparts including electronic execution</w:t>
      </w:r>
    </w:p>
    <w:p>
      <w:pPr>
        <w:pStyle w:val="ListParagraph"/>
        <w:numPr>
          <w:ilvl w:val="0"/>
          <w:numId w:val="2"/>
        </w:numPr>
        <w:spacing w:after="40" w:before="40"/>
      </w:pPr>
      <w:r>
        <w:rPr>
          <w:rFonts w:ascii="Arial" w:cs="Arial" w:eastAsia="Arial" w:hAnsi="Arial"/>
          <w:sz w:val="22"/>
          <w:szCs w:val="22"/>
        </w:rPr>
        <w:t xml:space="preserve">Language: English primary; Arabic version may be required for KSA regulatory purposes</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FLY GACA SAUDI ARABIA (LLC)
Adel Yahya A. Madkhali, CEO</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[COUNTERPARTY_FULL_LEGAL_NAME]
[SIGNATORY_NAME], [SIGNATORY_TITLE]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A — Practical Confidentiality Protocols</w:t>
      </w:r>
    </w:p>
    <w:p>
      <w:pPr>
        <w:pStyle w:val="Heading2"/>
        <w:spacing w:after="80" w:before="200"/>
      </w:pPr>
      <w:r>
        <w:rPr>
          <w:rFonts w:ascii="Arial" w:cs="Arial" w:eastAsia="Arial" w:hAnsi="Arial"/>
          <w:b/>
          <w:bCs/>
          <w:color w:val="0A0E12"/>
          <w:sz w:val="24"/>
          <w:szCs w:val="24"/>
        </w:rPr>
        <w:t xml:space="preserve">Digital Transmission</w:t>
      </w:r>
    </w:p>
    <w:p>
      <w:pPr>
        <w:pStyle w:val="ListParagraph"/>
        <w:numPr>
          <w:ilvl w:val="0"/>
          <w:numId w:val="2"/>
        </w:numPr>
        <w:spacing w:after="40" w:before="40"/>
      </w:pPr>
      <w:r>
        <w:rPr>
          <w:rFonts w:ascii="Arial" w:cs="Arial" w:eastAsia="Arial" w:hAnsi="Arial"/>
          <w:sz w:val="22"/>
          <w:szCs w:val="22"/>
        </w:rPr>
        <w:t xml:space="preserve">All digital Confidential Information transmitted via encrypted channels (TLS 1.2+ or end-to-end encrypted platforms)</w:t>
      </w:r>
    </w:p>
    <w:p>
      <w:pPr>
        <w:pStyle w:val="ListParagraph"/>
        <w:numPr>
          <w:ilvl w:val="0"/>
          <w:numId w:val="2"/>
        </w:numPr>
        <w:spacing w:after="40" w:before="40"/>
      </w:pPr>
      <w:r>
        <w:rPr>
          <w:rFonts w:ascii="Arial" w:cs="Arial" w:eastAsia="Arial" w:hAnsi="Arial"/>
          <w:sz w:val="22"/>
          <w:szCs w:val="22"/>
        </w:rPr>
        <w:t xml:space="preserve">Email attachments containing Confidential Information shall be password-protected; passwords communicated via separate channel</w:t>
      </w:r>
    </w:p>
    <w:p>
      <w:pPr>
        <w:pStyle w:val="ListParagraph"/>
        <w:numPr>
          <w:ilvl w:val="0"/>
          <w:numId w:val="2"/>
        </w:numPr>
        <w:spacing w:after="40" w:before="40"/>
      </w:pPr>
      <w:r>
        <w:rPr>
          <w:rFonts w:ascii="Arial" w:cs="Arial" w:eastAsia="Arial" w:hAnsi="Arial"/>
          <w:sz w:val="22"/>
          <w:szCs w:val="22"/>
        </w:rPr>
        <w:t xml:space="preserve">Cloud sharing limited to Disclosing Party approved platforms; Fly GACA uses Firebase me-central2 (Dammam, KSA) for data residency compliance</w:t>
      </w:r>
    </w:p>
    <w:p>
      <w:pPr>
        <w:pStyle w:val="Heading2"/>
        <w:spacing w:after="80" w:before="200"/>
      </w:pPr>
      <w:r>
        <w:rPr>
          <w:rFonts w:ascii="Arial" w:cs="Arial" w:eastAsia="Arial" w:hAnsi="Arial"/>
          <w:b/>
          <w:bCs/>
          <w:color w:val="0A0E12"/>
          <w:sz w:val="24"/>
          <w:szCs w:val="24"/>
        </w:rPr>
        <w:t xml:space="preserve">Physical Materials</w:t>
      </w:r>
    </w:p>
    <w:p>
      <w:pPr>
        <w:pStyle w:val="ListParagraph"/>
        <w:numPr>
          <w:ilvl w:val="0"/>
          <w:numId w:val="2"/>
        </w:numPr>
        <w:spacing w:after="40" w:before="40"/>
      </w:pPr>
      <w:r>
        <w:rPr>
          <w:rFonts w:ascii="Arial" w:cs="Arial" w:eastAsia="Arial" w:hAnsi="Arial"/>
          <w:sz w:val="22"/>
          <w:szCs w:val="22"/>
        </w:rPr>
        <w:t xml:space="preserve">Physical materials marked "Confidential" stored in locked facilities when not in use</w:t>
      </w:r>
    </w:p>
    <w:p>
      <w:pPr>
        <w:pStyle w:val="ListParagraph"/>
        <w:numPr>
          <w:ilvl w:val="0"/>
          <w:numId w:val="2"/>
        </w:numPr>
        <w:spacing w:after="40" w:before="40"/>
      </w:pPr>
      <w:r>
        <w:rPr>
          <w:rFonts w:ascii="Arial" w:cs="Arial" w:eastAsia="Arial" w:hAnsi="Arial"/>
          <w:sz w:val="22"/>
          <w:szCs w:val="22"/>
        </w:rPr>
        <w:t xml:space="preserve">Printed materials shredded upon completion of Purpose or upon written request</w:t>
      </w:r>
    </w:p>
    <w:p>
      <w:pPr>
        <w:pStyle w:val="Heading2"/>
        <w:spacing w:after="80" w:before="200"/>
      </w:pPr>
      <w:r>
        <w:rPr>
          <w:rFonts w:ascii="Arial" w:cs="Arial" w:eastAsia="Arial" w:hAnsi="Arial"/>
          <w:b/>
          <w:bCs/>
          <w:color w:val="0A0E12"/>
          <w:sz w:val="24"/>
          <w:szCs w:val="24"/>
        </w:rPr>
        <w:t xml:space="preserve">Personnel Access Controls</w:t>
      </w:r>
    </w:p>
    <w:p>
      <w:pPr>
        <w:pStyle w:val="ListParagraph"/>
        <w:numPr>
          <w:ilvl w:val="0"/>
          <w:numId w:val="2"/>
        </w:numPr>
        <w:spacing w:after="40" w:before="40"/>
      </w:pPr>
      <w:r>
        <w:rPr>
          <w:rFonts w:ascii="Arial" w:cs="Arial" w:eastAsia="Arial" w:hAnsi="Arial"/>
          <w:sz w:val="22"/>
          <w:szCs w:val="22"/>
        </w:rPr>
        <w:t xml:space="preserve">Each Party shall maintain a log of personnel who have accessed the other Party Confidential Information</w:t>
      </w:r>
    </w:p>
    <w:p>
      <w:pPr>
        <w:pStyle w:val="ListParagraph"/>
        <w:numPr>
          <w:ilvl w:val="0"/>
          <w:numId w:val="2"/>
        </w:numPr>
        <w:spacing w:after="40" w:before="40"/>
      </w:pPr>
      <w:r>
        <w:rPr>
          <w:rFonts w:ascii="Arial" w:cs="Arial" w:eastAsia="Arial" w:hAnsi="Arial"/>
          <w:sz w:val="22"/>
          <w:szCs w:val="22"/>
        </w:rPr>
        <w:t xml:space="preserve">Access shall be revoked promptly upon termination of any individual authorized to access Confidential Information</w:t>
      </w:r>
    </w:p>
    <w:p>
      <w:pPr>
        <w:pStyle w:val="Heading2"/>
        <w:spacing w:after="80" w:before="200"/>
      </w:pPr>
      <w:r>
        <w:rPr>
          <w:rFonts w:ascii="Arial" w:cs="Arial" w:eastAsia="Arial" w:hAnsi="Arial"/>
          <w:b/>
          <w:bCs/>
          <w:color w:val="0A0E12"/>
          <w:sz w:val="24"/>
          <w:szCs w:val="24"/>
        </w:rPr>
        <w:t xml:space="preserve">Incident Response</w:t>
      </w:r>
    </w:p>
    <w:p>
      <w:pPr>
        <w:pStyle w:val="ListParagraph"/>
        <w:numPr>
          <w:ilvl w:val="0"/>
          <w:numId w:val="2"/>
        </w:numPr>
        <w:spacing w:after="40" w:before="40"/>
      </w:pPr>
      <w:r>
        <w:rPr>
          <w:rFonts w:ascii="Arial" w:cs="Arial" w:eastAsia="Arial" w:hAnsi="Arial"/>
          <w:sz w:val="22"/>
          <w:szCs w:val="22"/>
        </w:rPr>
        <w:t xml:space="preserve">Any suspected breach must be reported to the Disclosing Party designated security contact within 24 hours of discovery</w:t>
      </w:r>
    </w:p>
    <w:p>
      <w:pPr>
        <w:pStyle w:val="ListParagraph"/>
        <w:numPr>
          <w:ilvl w:val="0"/>
          <w:numId w:val="2"/>
        </w:numPr>
        <w:spacing w:after="40" w:before="40"/>
      </w:pPr>
      <w:r>
        <w:rPr>
          <w:rFonts w:ascii="Arial" w:cs="Arial" w:eastAsia="Arial" w:hAnsi="Arial"/>
          <w:sz w:val="22"/>
          <w:szCs w:val="22"/>
        </w:rPr>
        <w:t xml:space="preserve">Each Party shall cooperate in containing and mitigating any breach</w:t>
      </w:r>
    </w:p>
    <w:p>
      <w:r>
        <w:br w:type="page"/>
      </w:r>
    </w:p>
    <w:p>
      <w:pPr>
        <w:pStyle w:val="Heading1"/>
        <w:spacing w:after="120" w:before="300"/>
      </w:pPr>
      <w:r>
        <w:rPr>
          <w:rFonts w:ascii="Arial" w:cs="Arial" w:eastAsia="Arial" w:hAnsi="Arial"/>
          <w:b/>
          <w:bCs/>
          <w:color w:val="2D6E8A"/>
          <w:sz w:val="28"/>
          <w:szCs w:val="28"/>
        </w:rPr>
        <w:t xml:space="preserve">Appendix B — Saudi PDPL Compliance Note</w:t>
      </w:r>
    </w:p>
    <w:p>
      <w:pPr>
        <w:spacing w:after="60" w:before="60"/>
      </w:pPr>
      <w:r>
        <w:rPr>
          <w:rFonts w:ascii="Arial" w:cs="Arial" w:eastAsia="Arial" w:hAnsi="Arial"/>
          <w:sz w:val="22"/>
          <w:szCs w:val="22"/>
        </w:rPr>
        <w:t xml:space="preserve">This Agreement may involve the disclosure or access to personal data governed by the Saudi Personal Data Protection Law (PDPL, Royal Decree M/19, effective 14 September 2023) and its implementing regulations issued by SDAIA. The following provisions supplement the confidentiality obligations of this Agreement with respect to personal data:</w:t>
      </w:r>
    </w:p>
    <w:p>
      <w:pPr>
        <w:pStyle w:val="ListParagraph"/>
        <w:numPr>
          <w:ilvl w:val="0"/>
          <w:numId w:val="2"/>
        </w:numPr>
        <w:spacing w:after="40" w:before="40"/>
      </w:pPr>
      <w:r>
        <w:rPr>
          <w:rFonts w:ascii="Arial" w:cs="Arial" w:eastAsia="Arial" w:hAnsi="Arial"/>
          <w:sz w:val="22"/>
          <w:szCs w:val="22"/>
        </w:rPr>
        <w:t xml:space="preserve">Personal data may only be processed for the Purpose specified in this Agreement and must not be used for any secondary purpose without prior written consent from the data controller</w:t>
      </w:r>
    </w:p>
    <w:p>
      <w:pPr>
        <w:pStyle w:val="ListParagraph"/>
        <w:numPr>
          <w:ilvl w:val="0"/>
          <w:numId w:val="2"/>
        </w:numPr>
        <w:spacing w:after="40" w:before="40"/>
      </w:pPr>
      <w:r>
        <w:rPr>
          <w:rFonts w:ascii="Arial" w:cs="Arial" w:eastAsia="Arial" w:hAnsi="Arial"/>
          <w:sz w:val="22"/>
          <w:szCs w:val="22"/>
        </w:rPr>
        <w:t xml:space="preserve">Any transfer of personal data outside the Kingdom of Saudi Arabia requires SDAIA approval, a recognized adequacy determination, or an appropriate contractual safeguard</w:t>
      </w:r>
    </w:p>
    <w:p>
      <w:pPr>
        <w:pStyle w:val="ListParagraph"/>
        <w:numPr>
          <w:ilvl w:val="0"/>
          <w:numId w:val="2"/>
        </w:numPr>
        <w:spacing w:after="40" w:before="40"/>
      </w:pPr>
      <w:r>
        <w:rPr>
          <w:rFonts w:ascii="Arial" w:cs="Arial" w:eastAsia="Arial" w:hAnsi="Arial"/>
          <w:sz w:val="22"/>
          <w:szCs w:val="22"/>
        </w:rPr>
        <w:t xml:space="preserve">Each Party that processes personal data as a processor must implement appropriate technical and organizational measures to protect personal data against unauthorized access, loss, destruction, alteration, or disclosure</w:t>
      </w:r>
    </w:p>
    <w:p>
      <w:pPr>
        <w:pStyle w:val="ListParagraph"/>
        <w:numPr>
          <w:ilvl w:val="0"/>
          <w:numId w:val="2"/>
        </w:numPr>
        <w:spacing w:after="40" w:before="40"/>
      </w:pPr>
      <w:r>
        <w:rPr>
          <w:rFonts w:ascii="Arial" w:cs="Arial" w:eastAsia="Arial" w:hAnsi="Arial"/>
          <w:sz w:val="22"/>
          <w:szCs w:val="22"/>
        </w:rPr>
        <w:t xml:space="preserve">In the event of a personal data breach, the discovering Party shall notify the other Party within seventy-two (72) hours of becoming aware, and shall notify SDAIA if required under PDPL</w:t>
      </w:r>
    </w:p>
    <w:p>
      <w:pPr>
        <w:pStyle w:val="ListParagraph"/>
        <w:numPr>
          <w:ilvl w:val="0"/>
          <w:numId w:val="2"/>
        </w:numPr>
        <w:spacing w:after="40" w:before="40"/>
      </w:pPr>
      <w:r>
        <w:rPr>
          <w:rFonts w:ascii="Arial" w:cs="Arial" w:eastAsia="Arial" w:hAnsi="Arial"/>
          <w:sz w:val="22"/>
          <w:szCs w:val="22"/>
        </w:rPr>
        <w:t xml:space="preserve">Upon termination of this Agreement, each Party shall delete or return all personal data received from the other Party, unless retention is required by applicable law</w:t>
      </w:r>
    </w:p>
    <w:p>
      <w:pPr>
        <w:pStyle w:val="ListParagraph"/>
        <w:numPr>
          <w:ilvl w:val="0"/>
          <w:numId w:val="2"/>
        </w:numPr>
        <w:spacing w:after="40" w:before="40"/>
      </w:pPr>
      <w:r>
        <w:rPr>
          <w:rFonts w:ascii="Arial" w:cs="Arial" w:eastAsia="Arial" w:hAnsi="Arial"/>
          <w:sz w:val="22"/>
          <w:szCs w:val="22"/>
        </w:rPr>
        <w:t xml:space="preserve">Each Party shall maintain records of personal data processing activities as required under PDPL</w:t>
      </w:r>
    </w:p>
    <w:p>
      <w:pPr>
        <w:pStyle w:val="ListParagraph"/>
        <w:numPr>
          <w:ilvl w:val="0"/>
          <w:numId w:val="2"/>
        </w:numPr>
        <w:spacing w:after="40" w:before="40"/>
      </w:pPr>
      <w:r>
        <w:rPr>
          <w:rFonts w:ascii="Arial" w:cs="Arial" w:eastAsia="Arial" w:hAnsi="Arial"/>
          <w:sz w:val="22"/>
          <w:szCs w:val="22"/>
        </w:rPr>
        <w:t xml:space="preserve">Each Party shall cooperate with the other in responding to data subject rights requests (access, correction, deletion) within the timeframes required by PDPL</w:t>
      </w:r>
    </w:p>
    <w:p>
      <w:r>
        <w:br w:type="page"/>
      </w:r>
    </w:p>
    <w:p>
      <w:pPr>
        <w:pStyle w:val="Heading1"/>
        <w:spacing w:after="120" w:before="300"/>
      </w:pPr>
      <w:r>
        <w:rPr>
          <w:rFonts w:ascii="Arial" w:cs="Arial" w:eastAsia="Arial" w:hAnsi="Arial"/>
          <w:b/>
          <w:bCs/>
          <w:color w:val="2D6E8A"/>
          <w:sz w:val="28"/>
          <w:szCs w:val="28"/>
        </w:rPr>
        <w:t xml:space="preserve">Appendix C — Execution Checklist</w:t>
      </w:r>
    </w:p>
    <w:p>
      <w:pPr>
        <w:pStyle w:val="ListParagraph"/>
        <w:numPr>
          <w:ilvl w:val="0"/>
          <w:numId w:val="2"/>
        </w:numPr>
        <w:spacing w:after="40" w:before="40"/>
      </w:pPr>
      <w:r>
        <w:rPr>
          <w:rFonts w:ascii="Arial" w:cs="Arial" w:eastAsia="Arial" w:hAnsi="Arial"/>
          <w:sz w:val="22"/>
          <w:szCs w:val="22"/>
        </w:rPr>
        <w:t xml:space="preserve">Confirm the Purpose is accurately described in Section 1 before signing</w:t>
      </w:r>
    </w:p>
    <w:p>
      <w:pPr>
        <w:pStyle w:val="ListParagraph"/>
        <w:numPr>
          <w:ilvl w:val="0"/>
          <w:numId w:val="2"/>
        </w:numPr>
        <w:spacing w:after="40" w:before="40"/>
      </w:pPr>
      <w:r>
        <w:rPr>
          <w:rFonts w:ascii="Arial" w:cs="Arial" w:eastAsia="Arial" w:hAnsi="Arial"/>
          <w:sz w:val="22"/>
          <w:szCs w:val="22"/>
        </w:rPr>
        <w:t xml:space="preserve">Insert correct legal names, registration numbers, and addresses for both Parties</w:t>
      </w:r>
    </w:p>
    <w:p>
      <w:pPr>
        <w:pStyle w:val="ListParagraph"/>
        <w:numPr>
          <w:ilvl w:val="0"/>
          <w:numId w:val="2"/>
        </w:numPr>
        <w:spacing w:after="40" w:before="40"/>
      </w:pPr>
      <w:r>
        <w:rPr>
          <w:rFonts w:ascii="Arial" w:cs="Arial" w:eastAsia="Arial" w:hAnsi="Arial"/>
          <w:sz w:val="22"/>
          <w:szCs w:val="22"/>
        </w:rPr>
        <w:t xml:space="preserve">Confirm authorized signatories have corporate authority to bind their entities</w:t>
      </w:r>
    </w:p>
    <w:p>
      <w:pPr>
        <w:pStyle w:val="ListParagraph"/>
        <w:numPr>
          <w:ilvl w:val="0"/>
          <w:numId w:val="2"/>
        </w:numPr>
        <w:spacing w:after="40" w:before="40"/>
      </w:pPr>
      <w:r>
        <w:rPr>
          <w:rFonts w:ascii="Arial" w:cs="Arial" w:eastAsia="Arial" w:hAnsi="Arial"/>
          <w:sz w:val="22"/>
          <w:szCs w:val="22"/>
        </w:rPr>
        <w:t xml:space="preserve">Retain an executed copy (PDF or wet-ink) in each Party contract management system</w:t>
      </w:r>
    </w:p>
    <w:p>
      <w:pPr>
        <w:pStyle w:val="ListParagraph"/>
        <w:numPr>
          <w:ilvl w:val="0"/>
          <w:numId w:val="2"/>
        </w:numPr>
        <w:spacing w:after="40" w:before="40"/>
      </w:pPr>
      <w:r>
        <w:rPr>
          <w:rFonts w:ascii="Arial" w:cs="Arial" w:eastAsia="Arial" w:hAnsi="Arial"/>
          <w:sz w:val="22"/>
          <w:szCs w:val="22"/>
        </w:rPr>
        <w:t xml:space="preserve">Set calendar reminders at the 3-year and 5-year marks for review of ongoing obligations</w:t>
      </w:r>
    </w:p>
    <w:p>
      <w:pPr>
        <w:pStyle w:val="ListParagraph"/>
        <w:numPr>
          <w:ilvl w:val="0"/>
          <w:numId w:val="2"/>
        </w:numPr>
        <w:spacing w:after="40" w:before="40"/>
      </w:pPr>
      <w:r>
        <w:rPr>
          <w:rFonts w:ascii="Arial" w:cs="Arial" w:eastAsia="Arial" w:hAnsi="Arial"/>
          <w:sz w:val="22"/>
          <w:szCs w:val="22"/>
        </w:rPr>
        <w:t xml:space="preserve">If any Party is a Saudi entity: confirm MISA registration and CR validity</w:t>
      </w:r>
    </w:p>
    <w:p>
      <w:pPr>
        <w:pStyle w:val="ListParagraph"/>
        <w:numPr>
          <w:ilvl w:val="0"/>
          <w:numId w:val="2"/>
        </w:numPr>
        <w:spacing w:after="40" w:before="40"/>
      </w:pPr>
      <w:r>
        <w:rPr>
          <w:rFonts w:ascii="Arial" w:cs="Arial" w:eastAsia="Arial" w:hAnsi="Arial"/>
          <w:sz w:val="22"/>
          <w:szCs w:val="22"/>
        </w:rPr>
        <w:t xml:space="preserve">If any Party is a foreign entity: confirm presence or authorized representative in KSA if required</w:t>
      </w:r>
    </w:p>
    <w:p>
      <w:pPr>
        <w:pStyle w:val="ListParagraph"/>
        <w:numPr>
          <w:ilvl w:val="0"/>
          <w:numId w:val="2"/>
        </w:numPr>
        <w:spacing w:after="40" w:before="40"/>
      </w:pPr>
      <w:r>
        <w:rPr>
          <w:rFonts w:ascii="Arial" w:cs="Arial" w:eastAsia="Arial" w:hAnsi="Arial"/>
          <w:sz w:val="22"/>
          <w:szCs w:val="22"/>
        </w:rPr>
        <w:t xml:space="preserve">Log the Agreement with reference to the disclosed materials in each Party confidentiality register</w:t>
      </w:r>
    </w:p>
    <w:p>
      <w:r>
        <w:br w:type="page"/>
      </w:r>
    </w:p>
    <w:p>
      <w:pPr>
        <w:pStyle w:val="Heading1"/>
        <w:spacing w:after="120" w:before="300"/>
      </w:pPr>
      <w:r>
        <w:rPr>
          <w:rFonts w:ascii="Arial" w:cs="Arial" w:eastAsia="Arial" w:hAnsi="Arial"/>
          <w:b/>
          <w:bCs/>
          <w:color w:val="2D6E8A"/>
          <w:sz w:val="28"/>
          <w:szCs w:val="28"/>
        </w:rPr>
        <w:t xml:space="preserve">Appendix D — Fly GACA Data Residency Architecture</w:t>
      </w:r>
    </w:p>
    <w:p>
      <w:pPr>
        <w:spacing w:after="60" w:before="60"/>
      </w:pPr>
      <w:r>
        <w:rPr>
          <w:rFonts w:ascii="Arial" w:cs="Arial" w:eastAsia="Arial" w:hAnsi="Arial"/>
          <w:sz w:val="22"/>
          <w:szCs w:val="22"/>
        </w:rPr>
        <w:t xml:space="preserve">The following summarizes Fly GACA data infrastructure relevant to information shared under this Agreement:</w:t>
      </w:r>
    </w:p>
    <w:p>
      <w:pPr>
        <w:pStyle w:val="ListParagraph"/>
        <w:numPr>
          <w:ilvl w:val="0"/>
          <w:numId w:val="2"/>
        </w:numPr>
        <w:spacing w:after="40" w:before="40"/>
      </w:pPr>
      <w:r>
        <w:rPr>
          <w:rFonts w:ascii="Arial" w:cs="Arial" w:eastAsia="Arial" w:hAnsi="Arial"/>
          <w:sz w:val="22"/>
          <w:szCs w:val="22"/>
        </w:rPr>
        <w:t xml:space="preserve">All Company data resides exclusively in Google Cloud Platform (GCP) region me-central2 (Dammam, Kingdom of Saudi Arabia)</w:t>
      </w:r>
    </w:p>
    <w:p>
      <w:pPr>
        <w:pStyle w:val="ListParagraph"/>
        <w:numPr>
          <w:ilvl w:val="0"/>
          <w:numId w:val="2"/>
        </w:numPr>
        <w:spacing w:after="40" w:before="40"/>
      </w:pPr>
      <w:r>
        <w:rPr>
          <w:rFonts w:ascii="Arial" w:cs="Arial" w:eastAsia="Arial" w:hAnsi="Arial"/>
          <w:sz w:val="22"/>
          <w:szCs w:val="22"/>
        </w:rPr>
        <w:t xml:space="preserve">Authentication, database, AI inference, and storage all operate within me-central2, ensuring full in-Kingdom data residency under Saudi PDPL (Royal Decree M/19)</w:t>
      </w:r>
    </w:p>
    <w:p>
      <w:pPr>
        <w:pStyle w:val="ListParagraph"/>
        <w:numPr>
          <w:ilvl w:val="0"/>
          <w:numId w:val="2"/>
        </w:numPr>
        <w:spacing w:after="40" w:before="40"/>
      </w:pPr>
      <w:r>
        <w:rPr>
          <w:rFonts w:ascii="Arial" w:cs="Arial" w:eastAsia="Arial" w:hAnsi="Arial"/>
          <w:sz w:val="22"/>
          <w:szCs w:val="22"/>
        </w:rPr>
        <w:t xml:space="preserve">Sole payment processor: Moyasar (Saudi-licensed), keeping the entire payment data plane within the Kingdom</w:t>
      </w:r>
    </w:p>
    <w:p>
      <w:pPr>
        <w:pStyle w:val="ListParagraph"/>
        <w:numPr>
          <w:ilvl w:val="0"/>
          <w:numId w:val="2"/>
        </w:numPr>
        <w:spacing w:after="40" w:before="40"/>
      </w:pPr>
      <w:r>
        <w:rPr>
          <w:rFonts w:ascii="Arial" w:cs="Arial" w:eastAsia="Arial" w:hAnsi="Arial"/>
          <w:sz w:val="22"/>
          <w:szCs w:val="22"/>
        </w:rPr>
        <w:t xml:space="preserve">Firebase Security Rules and GCP IAM policies enforce role-based access control for all Company data</w:t>
      </w:r>
    </w:p>
    <w:p>
      <w:pPr>
        <w:pStyle w:val="ListParagraph"/>
        <w:numPr>
          <w:ilvl w:val="0"/>
          <w:numId w:val="2"/>
        </w:numPr>
        <w:spacing w:after="40" w:before="40"/>
      </w:pPr>
      <w:r>
        <w:rPr>
          <w:rFonts w:ascii="Arial" w:cs="Arial" w:eastAsia="Arial" w:hAnsi="Arial"/>
          <w:sz w:val="22"/>
          <w:szCs w:val="22"/>
        </w:rPr>
        <w:t xml:space="preserve">72-hour breach notification procedure implemented per PDPL requirements</w:t>
      </w:r>
    </w:p>
    <w:p>
      <w:pPr>
        <w:spacing w:after="60" w:before="60"/>
      </w:pPr>
      <w:r>
        <w:rPr>
          <w:rFonts w:ascii="Arial" w:cs="Arial" w:eastAsia="Arial" w:hAnsi="Arial"/>
          <w:sz w:val="22"/>
          <w:szCs w:val="22"/>
        </w:rPr>
        <w:t xml:space="preserve">Any Confidential Information received by Fly GACA under this Agreement stored on Company systems will be subject to these security controls. Counterparties are encouraged to apply equivalent standards.</w:t>
      </w:r>
    </w:p>
    <w:p>
      <w:r>
        <w:br w:type="page"/>
      </w:r>
    </w:p>
    <w:p>
      <w:pPr>
        <w:pStyle w:val="Heading1"/>
        <w:spacing w:after="120" w:before="300"/>
      </w:pPr>
      <w:r>
        <w:rPr>
          <w:rFonts w:ascii="Arial" w:cs="Arial" w:eastAsia="Arial" w:hAnsi="Arial"/>
          <w:b/>
          <w:bCs/>
          <w:color w:val="2D6E8A"/>
          <w:sz w:val="28"/>
          <w:szCs w:val="28"/>
        </w:rPr>
        <w:t xml:space="preserve">Appendix E — NDA Tracking Register Template</w:t>
      </w:r>
    </w:p>
    <w:p>
      <w:pPr>
        <w:spacing w:after="60" w:before="60"/>
      </w:pPr>
      <w:r>
        <w:rPr>
          <w:rFonts w:ascii="Arial" w:cs="Arial" w:eastAsia="Arial" w:hAnsi="Arial"/>
          <w:sz w:val="22"/>
          <w:szCs w:val="22"/>
        </w:rPr>
        <w:t xml:space="preserve">Fly GACA shall maintain an NDA tracking register for all executed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NDA Reference 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[NDA-2026-XXX]</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Counterparty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[COUNTERPARTY_FULL_LEGAL_NAME]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NDA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Mutual</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General Info Expiry (3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+ 3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Trade Secret Expiry (5 years)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+ 5 YEARS]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Authorized Signatory (FG)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Adel Yahya A. Madkhali, CEO</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Authorized Signatory (CP)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[COUNTERPARTY_SIGNATORY_NAME]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 EXPIRED / TERMINATED]</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Executed Copy Location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PATH / DRIVE LOCATION]</w:t>
            </w:r>
          </w:p>
        </w:tc>
      </w:tr>
    </w:tbl>
    <w:p>
      <w:r>
        <w:br w:type="page"/>
      </w:r>
    </w:p>
    <w:p>
      <w:pPr>
        <w:pStyle w:val="Heading1"/>
        <w:spacing w:after="120" w:before="300"/>
      </w:pPr>
      <w:r>
        <w:rPr>
          <w:rFonts w:ascii="Arial" w:cs="Arial" w:eastAsia="Arial" w:hAnsi="Arial"/>
          <w:b/>
          <w:bCs/>
          <w:color w:val="2D6E8A"/>
          <w:sz w:val="28"/>
          <w:szCs w:val="28"/>
        </w:rPr>
        <w:t xml:space="preserve">Appendix F — Mutual NDA Scenario Guide</w:t>
      </w:r>
    </w:p>
    <w:p>
      <w:pPr>
        <w:spacing w:after="60" w:before="60"/>
      </w:pPr>
      <w:r>
        <w:rPr>
          <w:rFonts w:ascii="Arial" w:cs="Arial" w:eastAsia="Arial" w:hAnsi="Arial"/>
          <w:sz w:val="22"/>
          <w:szCs w:val="22"/>
        </w:rPr>
        <w:t xml:space="preserve">This Mutual NDA is designed for the following engagement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Engagement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Flow</w:t>
            </w:r>
          </w:p>
        </w:tc>
      </w:tr>
      <w:tr>
        <w:tc>
          <w:tcPr>
            <w:tcW w:type="dxa" w:w="2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Investor Due Diligence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Fly GACA discloses: financials, cap table, technology. Investor discloses: fund terms, LP info.</w:t>
            </w:r>
          </w:p>
        </w:tc>
      </w:tr>
      <w:tr>
        <w:tc>
          <w:tcPr>
            <w:tcW w:type="dxa" w:w="2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Strategic Partnership (Academy / Airline)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Fly GACA discloses: platform, pricing, roadmap. Academy discloses: student data, training plans.</w:t>
            </w:r>
          </w:p>
        </w:tc>
      </w:tr>
      <w:tr>
        <w:tc>
          <w:tcPr>
            <w:tcW w:type="dxa" w:w="2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Co-development / Integration Partner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Both parties disclose technical architectures.</w:t>
            </w:r>
          </w:p>
        </w:tc>
      </w:tr>
      <w:tr>
        <w:tc>
          <w:tcPr>
            <w:tcW w:type="dxa" w:w="2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Vendor / Contractor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Fly GACA discloses only.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2026-05-05T01:46:01.618Z</dcterms:created>
  <dcterms:modified xsi:type="dcterms:W3CDTF">2026-05-05T01:46:01.618Z</dcterms:modified>
</cp:coreProperties>
</file>

<file path=docProps/custom.xml><?xml version="1.0" encoding="utf-8"?>
<Properties xmlns="http://schemas.openxmlformats.org/officeDocument/2006/custom-properties" xmlns:vt="http://schemas.openxmlformats.org/officeDocument/2006/docPropsVTypes"/>
</file>