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D6E8A" w:color="2D6E8A" w:val="clear"/>
        <w:spacing w:after="0" w:before="0"/>
      </w:pPr>
      <w:r>
        <w:rPr>
          <w:rFonts w:ascii="Arial" w:cs="Arial" w:eastAsia="Arial" w:hAnsi="Arial"/>
          <w:b/>
          <w:bCs/>
          <w:color w:val="FFFFFF"/>
          <w:sz w:val="56"/>
          <w:szCs w:val="56"/>
        </w:rPr>
        <w:t xml:space="preserve">Fly GACA</w:t>
      </w:r>
    </w:p>
    <w:p>
      <w:pPr>
        <w:pBdr>
          <w:bottom w:val="single" w:color="C8A04A" w:sz="12"/>
        </w:pBdr>
      </w:pPr>
      <w:r>
        <w:rPr>
          <w:sz w:val="12"/>
          <w:szCs w:val="12"/>
        </w:rPr>
        <w:t xml:space="preserve"> </w:t>
      </w:r>
    </w:p>
    <w:p/>
    <w:p>
      <w:pPr>
        <w:spacing w:after="12" w:before="24"/>
      </w:pPr>
      <w:r>
        <w:rPr>
          <w:rFonts w:ascii="Arial" w:cs="Arial" w:eastAsia="Arial" w:hAnsi="Arial"/>
          <w:b/>
          <w:bCs/>
          <w:color w:val="2D6E8A"/>
          <w:sz w:val="48"/>
          <w:szCs w:val="48"/>
        </w:rPr>
        <w:t xml:space="preserve">Service Level Agreement (SLA)
Academy &amp; White-Label Tiers</w:t>
      </w:r>
    </w:p>
    <w:p>
      <w:pPr>
        <w:spacing w:after="48"/>
      </w:pPr>
      <w:r>
        <w:rPr>
          <w:rFonts w:ascii="Arial" w:cs="Arial" w:eastAsia="Arial" w:hAnsi="Arial"/>
          <w:color w:val="555555"/>
          <w:sz w:val="22"/>
          <w:szCs w:val="22"/>
        </w:rPr>
        <w:t xml:space="preserve">Fly GACA  ·  v1.0  ·  May 2026</w:t>
      </w:r>
    </w:p>
    <w:p>
      <w:pPr>
        <w:spacing w:after="48"/>
      </w:pPr>
      <w:r>
        <w:rPr>
          <w:color w:val="C8A04A"/>
        </w:rPr>
        <w:t xml:space="preserve">────────────────────────────────────────</w:t>
      </w:r>
    </w:p>
    <w:p>
      <w:pPr>
        <w:pBdr>
          <w:bottom w:val="single" w:color="2D6E8A" w:sz="6"/>
        </w:pBdr>
        <w:spacing w:after="12" w:before="28"/>
      </w:pPr>
      <w:r>
        <w:rPr>
          <w:rFonts w:ascii="Arial" w:cs="Arial" w:eastAsia="Arial" w:hAnsi="Arial"/>
          <w:b/>
          <w:bCs/>
          <w:color w:val="2D6E8A"/>
          <w:sz w:val="28"/>
          <w:szCs w:val="28"/>
        </w:rPr>
        <w:t xml:space="preserve">1. Parties and Scope</w:t>
      </w:r>
    </w:p>
    <w:p>
      <w:pPr>
        <w:spacing w:after="6" w:before="6"/>
      </w:pPr>
      <w:r>
        <w:rPr>
          <w:rFonts w:ascii="Arial" w:cs="Arial" w:eastAsia="Arial" w:hAnsi="Arial"/>
          <w:color w:val="0A0E12"/>
          <w:sz w:val="22"/>
          <w:szCs w:val="22"/>
        </w:rPr>
        <w:t xml:space="preserve">This Service Level Agreement (“SLA”) is entered into between Fly GACA (the “Service Provider”), operating under the laws of the Kingdom of Saudi Arabia, and the contracting Academy or White-Label Partner (the “Customer”).</w:t>
      </w:r>
    </w:p>
    <w:p>
      <w:pPr>
        <w:spacing w:after="6" w:before="6"/>
      </w:pPr>
      <w:r>
        <w:rPr>
          <w:rFonts w:ascii="Arial" w:cs="Arial" w:eastAsia="Arial" w:hAnsi="Arial"/>
          <w:color w:val="0A0E12"/>
          <w:sz w:val="22"/>
          <w:szCs w:val="22"/>
        </w:rPr>
        <w:t xml:space="preserve">This SLA applies exclusively to the production environment of the Fly GACA platform, including the AI regulatory chat, document library, and cohort dashboard features delivered under the Academy tier (150 SAR per cadet per year) and the White-Label tier (separately scoped). Development, staging, and beta environments are excluded.</w:t>
      </w:r>
    </w:p>
    <w:p>
      <w:pPr>
        <w:spacing w:after="6" w:before="6"/>
      </w:pPr>
      <w:r>
        <w:rPr>
          <w:rFonts w:ascii="Arial" w:cs="Arial" w:eastAsia="Arial" w:hAnsi="Arial"/>
          <w:color w:val="0A0E12"/>
          <w:sz w:val="22"/>
          <w:szCs w:val="22"/>
        </w:rPr>
        <w:t xml:space="preserve">Effective date: the date of Customer counter-signature on the applicable Order Form.</w:t>
      </w:r>
    </w:p>
    <w:p/>
    <w:p>
      <w:pPr>
        <w:pBdr>
          <w:bottom w:val="single" w:color="2D6E8A" w:sz="6"/>
        </w:pBdr>
        <w:spacing w:after="12" w:before="28"/>
      </w:pPr>
      <w:r>
        <w:rPr>
          <w:rFonts w:ascii="Arial" w:cs="Arial" w:eastAsia="Arial" w:hAnsi="Arial"/>
          <w:b/>
          <w:bCs/>
          <w:color w:val="2D6E8A"/>
          <w:sz w:val="28"/>
          <w:szCs w:val="28"/>
        </w:rPr>
        <w:t xml:space="preserve">2. Service Availability Target</w:t>
      </w:r>
    </w:p>
    <w:p>
      <w:pPr>
        <w:spacing w:after="6" w:before="6"/>
      </w:pPr>
      <w:r>
        <w:rPr>
          <w:rFonts w:ascii="Arial" w:cs="Arial" w:eastAsia="Arial" w:hAnsi="Arial"/>
          <w:color w:val="0A0E12"/>
          <w:sz w:val="22"/>
          <w:szCs w:val="22"/>
        </w:rPr>
        <w:t xml:space="preserve">The Service Provider targets 99.0% monthly uptime for the production environment, measured as: (calendar minutes − downtime minutes) ÷ calendar minutes × 100.</w:t>
      </w:r>
    </w:p>
    <w:p>
      <w:pPr>
        <w:spacing w:after="6" w:before="6"/>
      </w:pPr>
      <w:r>
        <w:rPr>
          <w:rFonts w:ascii="Arial" w:cs="Arial" w:eastAsia="Arial" w:hAnsi="Arial"/>
          <w:color w:val="0A0E12"/>
          <w:sz w:val="22"/>
          <w:szCs w:val="22"/>
        </w:rPr>
        <w:t xml:space="preserve">A 99.0% monthly target permits a maximum of approximately 7.2 hours of unplanned downtime per 30-day calendar month.</w:t>
      </w:r>
    </w:p>
    <w:p/>
    <w:p>
      <w:pPr>
        <w:spacing w:after="8" w:before="20"/>
      </w:pPr>
      <w:r>
        <w:rPr>
          <w:rFonts w:ascii="Arial" w:cs="Arial" w:eastAsia="Arial" w:hAnsi="Arial"/>
          <w:b/>
          <w:bCs/>
          <w:color w:val="0A0E12"/>
          <w:sz w:val="24"/>
          <w:szCs w:val="24"/>
        </w:rPr>
        <w:t xml:space="preserve">2.1 Exclusions from Downtime Calculation</w:t>
      </w:r>
    </w:p>
    <w:p>
      <w:pPr>
        <w:pStyle w:val="ListParagraph"/>
        <w:numPr>
          <w:ilvl w:val="0"/>
          <w:numId w:val="1"/>
        </w:numPr>
        <w:spacing w:after="4" w:before="4"/>
      </w:pPr>
      <w:r>
        <w:rPr>
          <w:rFonts w:ascii="Arial" w:cs="Arial" w:eastAsia="Arial" w:hAnsi="Arial"/>
          <w:color w:val="0A0E12"/>
          <w:sz w:val="22"/>
          <w:szCs w:val="22"/>
        </w:rPr>
        <w:t xml:space="preserve">Scheduled maintenance windows, provided the Service Provider gives at least 48 hours’ advance written notice via email and the in-app notification banner.</w:t>
      </w:r>
    </w:p>
    <w:p>
      <w:pPr>
        <w:pStyle w:val="ListParagraph"/>
        <w:numPr>
          <w:ilvl w:val="0"/>
          <w:numId w:val="1"/>
        </w:numPr>
        <w:spacing w:after="4" w:before="4"/>
      </w:pPr>
      <w:r>
        <w:rPr>
          <w:rFonts w:ascii="Arial" w:cs="Arial" w:eastAsia="Arial" w:hAnsi="Arial"/>
          <w:color w:val="0A0E12"/>
          <w:sz w:val="22"/>
          <w:szCs w:val="22"/>
        </w:rPr>
        <w:t xml:space="preserve">Force majeure events including natural disasters, acts of war, governmental actions, pandemics, and region-wide telecommunications failures.</w:t>
      </w:r>
    </w:p>
    <w:p>
      <w:pPr>
        <w:pStyle w:val="ListParagraph"/>
        <w:numPr>
          <w:ilvl w:val="0"/>
          <w:numId w:val="1"/>
        </w:numPr>
        <w:spacing w:after="4" w:before="4"/>
      </w:pPr>
      <w:r>
        <w:rPr>
          <w:rFonts w:ascii="Arial" w:cs="Arial" w:eastAsia="Arial" w:hAnsi="Arial"/>
          <w:color w:val="0A0E12"/>
          <w:sz w:val="22"/>
          <w:szCs w:val="22"/>
        </w:rPr>
        <w:t xml:space="preserve">Downtime caused by Customer actions: misconfigured integrations, excessive API calls, or use contrary to the Acceptable Use Policy.</w:t>
      </w:r>
    </w:p>
    <w:p>
      <w:pPr>
        <w:pStyle w:val="ListParagraph"/>
        <w:numPr>
          <w:ilvl w:val="0"/>
          <w:numId w:val="1"/>
        </w:numPr>
        <w:spacing w:after="4" w:before="4"/>
      </w:pPr>
      <w:r>
        <w:rPr>
          <w:rFonts w:ascii="Arial" w:cs="Arial" w:eastAsia="Arial" w:hAnsi="Arial"/>
          <w:color w:val="0A0E12"/>
          <w:sz w:val="22"/>
          <w:szCs w:val="22"/>
        </w:rPr>
        <w:t xml:space="preserve">Third-party infrastructure outages outside the Service Provider’s control, including Firebase platform incidents, Gemini API unavailability, or ISP failures on the Customer’s network.</w:t>
      </w:r>
    </w:p>
    <w:p>
      <w:pPr>
        <w:pStyle w:val="ListParagraph"/>
        <w:numPr>
          <w:ilvl w:val="0"/>
          <w:numId w:val="1"/>
        </w:numPr>
        <w:spacing w:after="4" w:before="4"/>
      </w:pPr>
      <w:r>
        <w:rPr>
          <w:rFonts w:ascii="Arial" w:cs="Arial" w:eastAsia="Arial" w:hAnsi="Arial"/>
          <w:color w:val="0A0E12"/>
          <w:sz w:val="22"/>
          <w:szCs w:val="22"/>
        </w:rPr>
        <w:t xml:space="preserve">Performance degradation affecting fewer than 10% of active users simultaneously, provided core chat functionality remains available.</w:t>
      </w:r>
    </w:p>
    <w:p/>
    <w:p>
      <w:pPr>
        <w:pBdr>
          <w:bottom w:val="single" w:color="2D6E8A" w:sz="6"/>
        </w:pBdr>
        <w:spacing w:after="12" w:before="28"/>
      </w:pPr>
      <w:r>
        <w:rPr>
          <w:rFonts w:ascii="Arial" w:cs="Arial" w:eastAsia="Arial" w:hAnsi="Arial"/>
          <w:b/>
          <w:bCs/>
          <w:color w:val="2D6E8A"/>
          <w:sz w:val="28"/>
          <w:szCs w:val="28"/>
        </w:rPr>
        <w:t xml:space="preserve">3. Performance Metrics</w:t>
      </w:r>
    </w:p>
    <w:tbl>
      <w:tblPr>
        <w:tblW w:type="dxa" w:w="9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600"/>
        <w:gridCol w:w="3240"/>
      </w:tblGrid>
      <w:tr>
        <w:trPr>
          <w:tblHeader/>
        </w:trPr>
        <w:tc>
          <w:tcPr>
            <w:shd w:fill="2D6E8A" w:color="2D6E8A" w:val="clear"/>
            <w:vAlign w:val="center"/>
          </w:tcPr>
          <w:p>
            <w:r>
              <w:rPr>
                <w:rFonts w:ascii="Arial" w:cs="Arial" w:eastAsia="Arial" w:hAnsi="Arial"/>
                <w:b/>
                <w:bCs/>
                <w:color w:val="FFFFFF"/>
                <w:sz w:val="22"/>
                <w:szCs w:val="22"/>
              </w:rPr>
              <w:t xml:space="preserve">Metric</w:t>
            </w:r>
          </w:p>
        </w:tc>
        <w:tc>
          <w:tcPr>
            <w:shd w:fill="2D6E8A" w:color="2D6E8A" w:val="clear"/>
            <w:vAlign w:val="center"/>
          </w:tcPr>
          <w:p>
            <w:r>
              <w:rPr>
                <w:rFonts w:ascii="Arial" w:cs="Arial" w:eastAsia="Arial" w:hAnsi="Arial"/>
                <w:b/>
                <w:bCs/>
                <w:color w:val="FFFFFF"/>
                <w:sz w:val="22"/>
                <w:szCs w:val="22"/>
              </w:rPr>
              <w:t xml:space="preserve">Target (p95)</w:t>
            </w:r>
          </w:p>
        </w:tc>
        <w:tc>
          <w:tcPr>
            <w:shd w:fill="2D6E8A" w:color="2D6E8A" w:val="clear"/>
            <w:vAlign w:val="center"/>
          </w:tcPr>
          <w:p>
            <w:r>
              <w:rPr>
                <w:rFonts w:ascii="Arial" w:cs="Arial" w:eastAsia="Arial" w:hAnsi="Arial"/>
                <w:b/>
                <w:bCs/>
                <w:color w:val="FFFFFF"/>
                <w:sz w:val="22"/>
                <w:szCs w:val="22"/>
              </w:rPr>
              <w:t xml:space="preserve">Measurement Window</w:t>
            </w:r>
          </w:p>
        </w:tc>
      </w:tr>
      <w:tr>
        <w:tc>
          <w:tcPr>
            <w:vAlign w:val="top"/>
          </w:tcPr>
          <w:p>
            <w:r>
              <w:rPr>
                <w:rFonts w:ascii="Arial" w:cs="Arial" w:eastAsia="Arial" w:hAnsi="Arial"/>
                <w:color w:val="0A0E12"/>
                <w:sz w:val="22"/>
                <w:szCs w:val="22"/>
              </w:rPr>
              <w:t xml:space="preserve">AI chat response time (first token)</w:t>
            </w:r>
          </w:p>
        </w:tc>
        <w:tc>
          <w:tcPr>
            <w:vAlign w:val="top"/>
          </w:tcPr>
          <w:p>
            <w:r>
              <w:rPr>
                <w:rFonts w:ascii="Arial" w:cs="Arial" w:eastAsia="Arial" w:hAnsi="Arial"/>
                <w:color w:val="0A0E12"/>
                <w:sz w:val="22"/>
                <w:szCs w:val="22"/>
              </w:rPr>
              <w:t xml:space="preserve">&lt; 8 seconds</w:t>
            </w:r>
          </w:p>
        </w:tc>
        <w:tc>
          <w:tcPr>
            <w:vAlign w:val="top"/>
          </w:tcPr>
          <w:p>
            <w:r>
              <w:rPr>
                <w:rFonts w:ascii="Arial" w:cs="Arial" w:eastAsia="Arial" w:hAnsi="Arial"/>
                <w:color w:val="0A0E12"/>
                <w:sz w:val="22"/>
                <w:szCs w:val="22"/>
              </w:rPr>
              <w:t xml:space="preserve">Rolling 24-hour window</w:t>
            </w:r>
          </w:p>
        </w:tc>
      </w:tr>
      <w:tr>
        <w:tc>
          <w:tcPr>
            <w:shd w:fill="F5F2ED" w:color="F5F2ED" w:val="clear"/>
            <w:vAlign w:val="top"/>
          </w:tcPr>
          <w:p>
            <w:r>
              <w:rPr>
                <w:rFonts w:ascii="Arial" w:cs="Arial" w:eastAsia="Arial" w:hAnsi="Arial"/>
                <w:color w:val="0A0E12"/>
                <w:sz w:val="22"/>
                <w:szCs w:val="22"/>
              </w:rPr>
              <w:t xml:space="preserve">Document library full-text search</w:t>
            </w:r>
          </w:p>
        </w:tc>
        <w:tc>
          <w:tcPr>
            <w:shd w:fill="F5F2ED" w:color="F5F2ED" w:val="clear"/>
            <w:vAlign w:val="top"/>
          </w:tcPr>
          <w:p>
            <w:r>
              <w:rPr>
                <w:rFonts w:ascii="Arial" w:cs="Arial" w:eastAsia="Arial" w:hAnsi="Arial"/>
                <w:color w:val="0A0E12"/>
                <w:sz w:val="22"/>
                <w:szCs w:val="22"/>
              </w:rPr>
              <w:t xml:space="preserve">&lt; 2 seconds</w:t>
            </w:r>
          </w:p>
        </w:tc>
        <w:tc>
          <w:tcPr>
            <w:shd w:fill="F5F2ED" w:color="F5F2ED" w:val="clear"/>
            <w:vAlign w:val="top"/>
          </w:tcPr>
          <w:p>
            <w:r>
              <w:rPr>
                <w:rFonts w:ascii="Arial" w:cs="Arial" w:eastAsia="Arial" w:hAnsi="Arial"/>
                <w:color w:val="0A0E12"/>
                <w:sz w:val="22"/>
                <w:szCs w:val="22"/>
              </w:rPr>
              <w:t xml:space="preserve">Rolling 24-hour window</w:t>
            </w:r>
          </w:p>
        </w:tc>
      </w:tr>
      <w:tr>
        <w:tc>
          <w:tcPr>
            <w:vAlign w:val="top"/>
          </w:tcPr>
          <w:p>
            <w:r>
              <w:rPr>
                <w:rFonts w:ascii="Arial" w:cs="Arial" w:eastAsia="Arial" w:hAnsi="Arial"/>
                <w:color w:val="0A0E12"/>
                <w:sz w:val="22"/>
                <w:szCs w:val="22"/>
              </w:rPr>
              <w:t xml:space="preserve">Citation pop-up load time</w:t>
            </w:r>
          </w:p>
        </w:tc>
        <w:tc>
          <w:tcPr>
            <w:vAlign w:val="top"/>
          </w:tcPr>
          <w:p>
            <w:r>
              <w:rPr>
                <w:rFonts w:ascii="Arial" w:cs="Arial" w:eastAsia="Arial" w:hAnsi="Arial"/>
                <w:color w:val="0A0E12"/>
                <w:sz w:val="22"/>
                <w:szCs w:val="22"/>
              </w:rPr>
              <w:t xml:space="preserve">&lt; 1.5 seconds</w:t>
            </w:r>
          </w:p>
        </w:tc>
        <w:tc>
          <w:tcPr>
            <w:vAlign w:val="top"/>
          </w:tcPr>
          <w:p>
            <w:r>
              <w:rPr>
                <w:rFonts w:ascii="Arial" w:cs="Arial" w:eastAsia="Arial" w:hAnsi="Arial"/>
                <w:color w:val="0A0E12"/>
                <w:sz w:val="22"/>
                <w:szCs w:val="22"/>
              </w:rPr>
              <w:t xml:space="preserve">Rolling 24-hour window</w:t>
            </w:r>
          </w:p>
        </w:tc>
      </w:tr>
      <w:tr>
        <w:tc>
          <w:tcPr>
            <w:shd w:fill="F5F2ED" w:color="F5F2ED" w:val="clear"/>
            <w:vAlign w:val="top"/>
          </w:tcPr>
          <w:p>
            <w:r>
              <w:rPr>
                <w:rFonts w:ascii="Arial" w:cs="Arial" w:eastAsia="Arial" w:hAnsi="Arial"/>
                <w:color w:val="0A0E12"/>
                <w:sz w:val="22"/>
                <w:szCs w:val="22"/>
              </w:rPr>
              <w:t xml:space="preserve">Cohort dashboard page load</w:t>
            </w:r>
          </w:p>
        </w:tc>
        <w:tc>
          <w:tcPr>
            <w:shd w:fill="F5F2ED" w:color="F5F2ED" w:val="clear"/>
            <w:vAlign w:val="top"/>
          </w:tcPr>
          <w:p>
            <w:r>
              <w:rPr>
                <w:rFonts w:ascii="Arial" w:cs="Arial" w:eastAsia="Arial" w:hAnsi="Arial"/>
                <w:color w:val="0A0E12"/>
                <w:sz w:val="22"/>
                <w:szCs w:val="22"/>
              </w:rPr>
              <w:t xml:space="preserve">&lt; 3 seconds</w:t>
            </w:r>
          </w:p>
        </w:tc>
        <w:tc>
          <w:tcPr>
            <w:shd w:fill="F5F2ED" w:color="F5F2ED" w:val="clear"/>
            <w:vAlign w:val="top"/>
          </w:tcPr>
          <w:p>
            <w:r>
              <w:rPr>
                <w:rFonts w:ascii="Arial" w:cs="Arial" w:eastAsia="Arial" w:hAnsi="Arial"/>
                <w:color w:val="0A0E12"/>
                <w:sz w:val="22"/>
                <w:szCs w:val="22"/>
              </w:rPr>
              <w:t xml:space="preserve">Rolling 24-hour window</w:t>
            </w:r>
          </w:p>
        </w:tc>
      </w:tr>
      <w:tr>
        <w:tc>
          <w:tcPr>
            <w:vAlign w:val="top"/>
          </w:tcPr>
          <w:p>
            <w:r>
              <w:rPr>
                <w:rFonts w:ascii="Arial" w:cs="Arial" w:eastAsia="Arial" w:hAnsi="Arial"/>
                <w:color w:val="0A0E12"/>
                <w:sz w:val="22"/>
                <w:szCs w:val="22"/>
              </w:rPr>
              <w:t xml:space="preserve">API authentication (OAuth token exchange)</w:t>
            </w:r>
          </w:p>
        </w:tc>
        <w:tc>
          <w:tcPr>
            <w:vAlign w:val="top"/>
          </w:tcPr>
          <w:p>
            <w:r>
              <w:rPr>
                <w:rFonts w:ascii="Arial" w:cs="Arial" w:eastAsia="Arial" w:hAnsi="Arial"/>
                <w:color w:val="0A0E12"/>
                <w:sz w:val="22"/>
                <w:szCs w:val="22"/>
              </w:rPr>
              <w:t xml:space="preserve">&lt; 500 ms</w:t>
            </w:r>
          </w:p>
        </w:tc>
        <w:tc>
          <w:tcPr>
            <w:vAlign w:val="top"/>
          </w:tcPr>
          <w:p>
            <w:r>
              <w:rPr>
                <w:rFonts w:ascii="Arial" w:cs="Arial" w:eastAsia="Arial" w:hAnsi="Arial"/>
                <w:color w:val="0A0E12"/>
                <w:sz w:val="22"/>
                <w:szCs w:val="22"/>
              </w:rPr>
              <w:t xml:space="preserve">Rolling 24-hour window</w:t>
            </w:r>
          </w:p>
        </w:tc>
      </w:tr>
    </w:tbl>
    <w:p/>
    <w:p>
      <w:pPr>
        <w:spacing w:after="6" w:before="6"/>
      </w:pPr>
      <w:r>
        <w:rPr>
          <w:rFonts w:ascii="Arial" w:cs="Arial" w:eastAsia="Arial" w:hAnsi="Arial"/>
          <w:color w:val="0A0E12"/>
          <w:sz w:val="22"/>
          <w:szCs w:val="22"/>
        </w:rPr>
        <w:t xml:space="preserve">Metrics are measured from the Firebase edge closest to the Customer’s primary location. Mobile network latency on the Customer side is excluded.</w:t>
      </w:r>
    </w:p>
    <w:p/>
    <w:p>
      <w:pPr>
        <w:pBdr>
          <w:bottom w:val="single" w:color="2D6E8A" w:sz="6"/>
        </w:pBdr>
        <w:spacing w:after="12" w:before="28"/>
      </w:pPr>
      <w:r>
        <w:rPr>
          <w:rFonts w:ascii="Arial" w:cs="Arial" w:eastAsia="Arial" w:hAnsi="Arial"/>
          <w:b/>
          <w:bCs/>
          <w:color w:val="2D6E8A"/>
          <w:sz w:val="28"/>
          <w:szCs w:val="28"/>
        </w:rPr>
        <w:t xml:space="preserve">4. Incident Severity and Response</w:t>
      </w:r>
    </w:p>
    <w:p>
      <w:pPr>
        <w:spacing w:after="6" w:before="6"/>
      </w:pPr>
      <w:r>
        <w:rPr>
          <w:rFonts w:ascii="Arial" w:cs="Arial" w:eastAsia="Arial" w:hAnsi="Arial"/>
          <w:color w:val="0A0E12"/>
          <w:sz w:val="22"/>
          <w:szCs w:val="22"/>
        </w:rPr>
        <w:t xml:space="preserve">All incidents are classified by severity at the time of detection or Customer report. The Service Provider may reclassify incidents as investigation proceeds.</w:t>
      </w:r>
    </w:p>
    <w:p/>
    <w:tbl>
      <w:tblPr>
        <w:tblW w:type="dxa" w:w="9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400"/>
        <w:gridCol w:w="2000"/>
        <w:gridCol w:w="2040"/>
      </w:tblGrid>
      <w:tr>
        <w:trPr>
          <w:tblHeader/>
        </w:trPr>
        <w:tc>
          <w:tcPr>
            <w:shd w:fill="2D6E8A" w:color="2D6E8A" w:val="clear"/>
            <w:vAlign w:val="center"/>
          </w:tcPr>
          <w:p>
            <w:r>
              <w:rPr>
                <w:rFonts w:ascii="Arial" w:cs="Arial" w:eastAsia="Arial" w:hAnsi="Arial"/>
                <w:b/>
                <w:bCs/>
                <w:color w:val="FFFFFF"/>
                <w:sz w:val="22"/>
                <w:szCs w:val="22"/>
              </w:rPr>
              <w:t xml:space="preserve">Severity</w:t>
            </w:r>
          </w:p>
        </w:tc>
        <w:tc>
          <w:tcPr>
            <w:shd w:fill="2D6E8A" w:color="2D6E8A" w:val="clear"/>
            <w:vAlign w:val="center"/>
          </w:tcPr>
          <w:p>
            <w:r>
              <w:rPr>
                <w:rFonts w:ascii="Arial" w:cs="Arial" w:eastAsia="Arial" w:hAnsi="Arial"/>
                <w:b/>
                <w:bCs/>
                <w:color w:val="FFFFFF"/>
                <w:sz w:val="22"/>
                <w:szCs w:val="22"/>
              </w:rPr>
              <w:t xml:space="preserve">Definition</w:t>
            </w:r>
          </w:p>
        </w:tc>
        <w:tc>
          <w:tcPr>
            <w:shd w:fill="2D6E8A" w:color="2D6E8A" w:val="clear"/>
            <w:vAlign w:val="center"/>
          </w:tcPr>
          <w:p>
            <w:r>
              <w:rPr>
                <w:rFonts w:ascii="Arial" w:cs="Arial" w:eastAsia="Arial" w:hAnsi="Arial"/>
                <w:b/>
                <w:bCs/>
                <w:color w:val="FFFFFF"/>
                <w:sz w:val="22"/>
                <w:szCs w:val="22"/>
              </w:rPr>
              <w:t xml:space="preserve">Initial Response</w:t>
            </w:r>
          </w:p>
        </w:tc>
        <w:tc>
          <w:tcPr>
            <w:shd w:fill="2D6E8A" w:color="2D6E8A" w:val="clear"/>
            <w:vAlign w:val="center"/>
          </w:tcPr>
          <w:p>
            <w:r>
              <w:rPr>
                <w:rFonts w:ascii="Arial" w:cs="Arial" w:eastAsia="Arial" w:hAnsi="Arial"/>
                <w:b/>
                <w:bCs/>
                <w:color w:val="FFFFFF"/>
                <w:sz w:val="22"/>
                <w:szCs w:val="22"/>
              </w:rPr>
              <w:t xml:space="preserve">Resolution Target</w:t>
            </w:r>
          </w:p>
        </w:tc>
      </w:tr>
      <w:tr>
        <w:tc>
          <w:tcPr>
            <w:vAlign w:val="top"/>
          </w:tcPr>
          <w:p>
            <w:r>
              <w:rPr>
                <w:rFonts w:ascii="Arial" w:cs="Arial" w:eastAsia="Arial" w:hAnsi="Arial"/>
                <w:color w:val="0A0E12"/>
                <w:sz w:val="22"/>
                <w:szCs w:val="22"/>
              </w:rPr>
              <w:t xml:space="preserve">Sev 1 — Outage</w:t>
            </w:r>
          </w:p>
        </w:tc>
        <w:tc>
          <w:tcPr>
            <w:vAlign w:val="top"/>
          </w:tcPr>
          <w:p>
            <w:r>
              <w:rPr>
                <w:rFonts w:ascii="Arial" w:cs="Arial" w:eastAsia="Arial" w:hAnsi="Arial"/>
                <w:color w:val="0A0E12"/>
                <w:sz w:val="22"/>
                <w:szCs w:val="22"/>
              </w:rPr>
              <w:t xml:space="preserve">Complete unavailability of production AI chat or document library for ≥25% of active users.</w:t>
            </w:r>
          </w:p>
        </w:tc>
        <w:tc>
          <w:tcPr>
            <w:vAlign w:val="top"/>
          </w:tcPr>
          <w:p>
            <w:r>
              <w:rPr>
                <w:rFonts w:ascii="Arial" w:cs="Arial" w:eastAsia="Arial" w:hAnsi="Arial"/>
                <w:color w:val="0A0E12"/>
                <w:sz w:val="22"/>
                <w:szCs w:val="22"/>
              </w:rPr>
              <w:t xml:space="preserve">30 minutes</w:t>
            </w:r>
          </w:p>
        </w:tc>
        <w:tc>
          <w:tcPr>
            <w:vAlign w:val="top"/>
          </w:tcPr>
          <w:p>
            <w:r>
              <w:rPr>
                <w:rFonts w:ascii="Arial" w:cs="Arial" w:eastAsia="Arial" w:hAnsi="Arial"/>
                <w:color w:val="0A0E12"/>
                <w:sz w:val="22"/>
                <w:szCs w:val="22"/>
              </w:rPr>
              <w:t xml:space="preserve">4 hours</w:t>
            </w:r>
          </w:p>
        </w:tc>
      </w:tr>
      <w:tr>
        <w:tc>
          <w:tcPr>
            <w:shd w:fill="F5F2ED" w:color="F5F2ED" w:val="clear"/>
            <w:vAlign w:val="top"/>
          </w:tcPr>
          <w:p>
            <w:r>
              <w:rPr>
                <w:rFonts w:ascii="Arial" w:cs="Arial" w:eastAsia="Arial" w:hAnsi="Arial"/>
                <w:color w:val="0A0E12"/>
                <w:sz w:val="22"/>
                <w:szCs w:val="22"/>
              </w:rPr>
              <w:t xml:space="preserve">Sev 2 — Major Degradation</w:t>
            </w:r>
          </w:p>
        </w:tc>
        <w:tc>
          <w:tcPr>
            <w:shd w:fill="F5F2ED" w:color="F5F2ED" w:val="clear"/>
            <w:vAlign w:val="top"/>
          </w:tcPr>
          <w:p>
            <w:r>
              <w:rPr>
                <w:rFonts w:ascii="Arial" w:cs="Arial" w:eastAsia="Arial" w:hAnsi="Arial"/>
                <w:color w:val="0A0E12"/>
                <w:sz w:val="22"/>
                <w:szCs w:val="22"/>
              </w:rPr>
              <w:t xml:space="preserve">Core features available but response times consistently exceed 3× the p95 target, or ≥50% of queries fail.</w:t>
            </w:r>
          </w:p>
        </w:tc>
        <w:tc>
          <w:tcPr>
            <w:shd w:fill="F5F2ED" w:color="F5F2ED" w:val="clear"/>
            <w:vAlign w:val="top"/>
          </w:tcPr>
          <w:p>
            <w:r>
              <w:rPr>
                <w:rFonts w:ascii="Arial" w:cs="Arial" w:eastAsia="Arial" w:hAnsi="Arial"/>
                <w:color w:val="0A0E12"/>
                <w:sz w:val="22"/>
                <w:szCs w:val="22"/>
              </w:rPr>
              <w:t xml:space="preserve">1 hour</w:t>
            </w:r>
          </w:p>
        </w:tc>
        <w:tc>
          <w:tcPr>
            <w:shd w:fill="F5F2ED" w:color="F5F2ED" w:val="clear"/>
            <w:vAlign w:val="top"/>
          </w:tcPr>
          <w:p>
            <w:r>
              <w:rPr>
                <w:rFonts w:ascii="Arial" w:cs="Arial" w:eastAsia="Arial" w:hAnsi="Arial"/>
                <w:color w:val="0A0E12"/>
                <w:sz w:val="22"/>
                <w:szCs w:val="22"/>
              </w:rPr>
              <w:t xml:space="preserve">8 hours</w:t>
            </w:r>
          </w:p>
        </w:tc>
      </w:tr>
      <w:tr>
        <w:tc>
          <w:tcPr>
            <w:vAlign w:val="top"/>
          </w:tcPr>
          <w:p>
            <w:r>
              <w:rPr>
                <w:rFonts w:ascii="Arial" w:cs="Arial" w:eastAsia="Arial" w:hAnsi="Arial"/>
                <w:color w:val="0A0E12"/>
                <w:sz w:val="22"/>
                <w:szCs w:val="22"/>
              </w:rPr>
              <w:t xml:space="preserve">Sev 3 — Minor Degradation</w:t>
            </w:r>
          </w:p>
        </w:tc>
        <w:tc>
          <w:tcPr>
            <w:vAlign w:val="top"/>
          </w:tcPr>
          <w:p>
            <w:r>
              <w:rPr>
                <w:rFonts w:ascii="Arial" w:cs="Arial" w:eastAsia="Arial" w:hAnsi="Arial"/>
                <w:color w:val="0A0E12"/>
                <w:sz w:val="22"/>
                <w:szCs w:val="22"/>
              </w:rPr>
              <w:t xml:space="preserve">Isolated feature impairment affecting &lt;10% of users; core chat and library remain functional.</w:t>
            </w:r>
          </w:p>
        </w:tc>
        <w:tc>
          <w:tcPr>
            <w:vAlign w:val="top"/>
          </w:tcPr>
          <w:p>
            <w:r>
              <w:rPr>
                <w:rFonts w:ascii="Arial" w:cs="Arial" w:eastAsia="Arial" w:hAnsi="Arial"/>
                <w:color w:val="0A0E12"/>
                <w:sz w:val="22"/>
                <w:szCs w:val="22"/>
              </w:rPr>
              <w:t xml:space="preserve">4 hours</w:t>
            </w:r>
          </w:p>
        </w:tc>
        <w:tc>
          <w:tcPr>
            <w:vAlign w:val="top"/>
          </w:tcPr>
          <w:p>
            <w:r>
              <w:rPr>
                <w:rFonts w:ascii="Arial" w:cs="Arial" w:eastAsia="Arial" w:hAnsi="Arial"/>
                <w:color w:val="0A0E12"/>
                <w:sz w:val="22"/>
                <w:szCs w:val="22"/>
              </w:rPr>
              <w:t xml:space="preserve">Next business day</w:t>
            </w:r>
          </w:p>
        </w:tc>
      </w:tr>
      <w:tr>
        <w:tc>
          <w:tcPr>
            <w:shd w:fill="F5F2ED" w:color="F5F2ED" w:val="clear"/>
            <w:vAlign w:val="top"/>
          </w:tcPr>
          <w:p>
            <w:r>
              <w:rPr>
                <w:rFonts w:ascii="Arial" w:cs="Arial" w:eastAsia="Arial" w:hAnsi="Arial"/>
                <w:color w:val="0A0E12"/>
                <w:sz w:val="22"/>
                <w:szCs w:val="22"/>
              </w:rPr>
              <w:t xml:space="preserve">Sev 4 — Cosmetic</w:t>
            </w:r>
          </w:p>
        </w:tc>
        <w:tc>
          <w:tcPr>
            <w:shd w:fill="F5F2ED" w:color="F5F2ED" w:val="clear"/>
            <w:vAlign w:val="top"/>
          </w:tcPr>
          <w:p>
            <w:r>
              <w:rPr>
                <w:rFonts w:ascii="Arial" w:cs="Arial" w:eastAsia="Arial" w:hAnsi="Arial"/>
                <w:color w:val="0A0E12"/>
                <w:sz w:val="22"/>
                <w:szCs w:val="22"/>
              </w:rPr>
              <w:t xml:space="preserve">Display issues, UI rendering errors, non-functional export button. No data or feature loss.</w:t>
            </w:r>
          </w:p>
        </w:tc>
        <w:tc>
          <w:tcPr>
            <w:shd w:fill="F5F2ED" w:color="F5F2ED" w:val="clear"/>
            <w:vAlign w:val="top"/>
          </w:tcPr>
          <w:p>
            <w:r>
              <w:rPr>
                <w:rFonts w:ascii="Arial" w:cs="Arial" w:eastAsia="Arial" w:hAnsi="Arial"/>
                <w:color w:val="0A0E12"/>
                <w:sz w:val="22"/>
                <w:szCs w:val="22"/>
              </w:rPr>
              <w:t xml:space="preserve">Next business day</w:t>
            </w:r>
          </w:p>
        </w:tc>
        <w:tc>
          <w:tcPr>
            <w:shd w:fill="F5F2ED" w:color="F5F2ED" w:val="clear"/>
            <w:vAlign w:val="top"/>
          </w:tcPr>
          <w:p>
            <w:r>
              <w:rPr>
                <w:rFonts w:ascii="Arial" w:cs="Arial" w:eastAsia="Arial" w:hAnsi="Arial"/>
                <w:color w:val="0A0E12"/>
                <w:sz w:val="22"/>
                <w:szCs w:val="22"/>
              </w:rPr>
              <w:t xml:space="preserve">Within 5 business days</w:t>
            </w:r>
          </w:p>
        </w:tc>
      </w:tr>
    </w:tbl>
    <w:p/>
    <w:p>
      <w:pPr>
        <w:spacing w:after="6" w:before="6"/>
      </w:pPr>
      <w:r>
        <w:rPr>
          <w:rFonts w:ascii="Arial" w:cs="Arial" w:eastAsia="Arial" w:hAnsi="Arial"/>
          <w:color w:val="0A0E12"/>
          <w:sz w:val="22"/>
          <w:szCs w:val="22"/>
        </w:rPr>
        <w:t xml:space="preserve">Business hours: Sunday–Thursday, 09:00–18:00 AST. Initial response obligations apply 24/7 for Sev 1 and Sev 2. Sev 3 and Sev 4 responses are scoped to business hours.</w:t>
      </w:r>
    </w:p>
    <w:p/>
    <w:p>
      <w:pPr>
        <w:pBdr>
          <w:bottom w:val="single" w:color="2D6E8A" w:sz="6"/>
        </w:pBdr>
        <w:spacing w:after="12" w:before="28"/>
      </w:pPr>
      <w:r>
        <w:rPr>
          <w:rFonts w:ascii="Arial" w:cs="Arial" w:eastAsia="Arial" w:hAnsi="Arial"/>
          <w:b/>
          <w:bCs/>
          <w:color w:val="2D6E8A"/>
          <w:sz w:val="28"/>
          <w:szCs w:val="28"/>
        </w:rPr>
        <w:t xml:space="preserve">5. Service Credits</w:t>
      </w:r>
    </w:p>
    <w:p>
      <w:pPr>
        <w:spacing w:after="6" w:before="6"/>
      </w:pPr>
      <w:r>
        <w:rPr>
          <w:rFonts w:ascii="Arial" w:cs="Arial" w:eastAsia="Arial" w:hAnsi="Arial"/>
          <w:color w:val="0A0E12"/>
          <w:sz w:val="22"/>
          <w:szCs w:val="22"/>
        </w:rPr>
        <w:t xml:space="preserve">In the event the Service Provider fails the 99.0% monthly availability target, the Customer is entitled to service credits as follows:</w:t>
      </w:r>
    </w:p>
    <w:tbl>
      <w:tblPr>
        <w:tblW w:type="dxa" w:w="9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20"/>
        <w:gridCol w:w="4620"/>
      </w:tblGrid>
      <w:tr>
        <w:trPr>
          <w:tblHeader/>
        </w:trPr>
        <w:tc>
          <w:tcPr>
            <w:shd w:fill="2D6E8A" w:color="2D6E8A" w:val="clear"/>
            <w:vAlign w:val="center"/>
          </w:tcPr>
          <w:p>
            <w:r>
              <w:rPr>
                <w:rFonts w:ascii="Arial" w:cs="Arial" w:eastAsia="Arial" w:hAnsi="Arial"/>
                <w:b/>
                <w:bCs/>
                <w:color w:val="FFFFFF"/>
                <w:sz w:val="22"/>
                <w:szCs w:val="22"/>
              </w:rPr>
              <w:t xml:space="preserve">Monthly Availability</w:t>
            </w:r>
          </w:p>
        </w:tc>
        <w:tc>
          <w:tcPr>
            <w:shd w:fill="2D6E8A" w:color="2D6E8A" w:val="clear"/>
            <w:vAlign w:val="center"/>
          </w:tcPr>
          <w:p>
            <w:r>
              <w:rPr>
                <w:rFonts w:ascii="Arial" w:cs="Arial" w:eastAsia="Arial" w:hAnsi="Arial"/>
                <w:b/>
                <w:bCs/>
                <w:color w:val="FFFFFF"/>
                <w:sz w:val="22"/>
                <w:szCs w:val="22"/>
              </w:rPr>
              <w:t xml:space="preserve">Credit (% of Monthly Fee)</w:t>
            </w:r>
          </w:p>
        </w:tc>
      </w:tr>
      <w:tr>
        <w:tc>
          <w:tcPr>
            <w:vAlign w:val="top"/>
          </w:tcPr>
          <w:p>
            <w:r>
              <w:rPr>
                <w:rFonts w:ascii="Arial" w:cs="Arial" w:eastAsia="Arial" w:hAnsi="Arial"/>
                <w:color w:val="0A0E12"/>
                <w:sz w:val="22"/>
                <w:szCs w:val="22"/>
              </w:rPr>
              <w:t xml:space="preserve">≥98.0% and &lt;99.0%</w:t>
            </w:r>
          </w:p>
        </w:tc>
        <w:tc>
          <w:tcPr>
            <w:vAlign w:val="top"/>
          </w:tcPr>
          <w:p>
            <w:r>
              <w:rPr>
                <w:rFonts w:ascii="Arial" w:cs="Arial" w:eastAsia="Arial" w:hAnsi="Arial"/>
                <w:color w:val="0A0E12"/>
                <w:sz w:val="22"/>
                <w:szCs w:val="22"/>
              </w:rPr>
              <w:t xml:space="preserve">5% credit</w:t>
            </w:r>
          </w:p>
        </w:tc>
      </w:tr>
      <w:tr>
        <w:tc>
          <w:tcPr>
            <w:shd w:fill="F5F2ED" w:color="F5F2ED" w:val="clear"/>
            <w:vAlign w:val="top"/>
          </w:tcPr>
          <w:p>
            <w:r>
              <w:rPr>
                <w:rFonts w:ascii="Arial" w:cs="Arial" w:eastAsia="Arial" w:hAnsi="Arial"/>
                <w:color w:val="0A0E12"/>
                <w:sz w:val="22"/>
                <w:szCs w:val="22"/>
              </w:rPr>
              <w:t xml:space="preserve">≥95.0% and &lt;98.0%</w:t>
            </w:r>
          </w:p>
        </w:tc>
        <w:tc>
          <w:tcPr>
            <w:shd w:fill="F5F2ED" w:color="F5F2ED" w:val="clear"/>
            <w:vAlign w:val="top"/>
          </w:tcPr>
          <w:p>
            <w:r>
              <w:rPr>
                <w:rFonts w:ascii="Arial" w:cs="Arial" w:eastAsia="Arial" w:hAnsi="Arial"/>
                <w:color w:val="0A0E12"/>
                <w:sz w:val="22"/>
                <w:szCs w:val="22"/>
              </w:rPr>
              <w:t xml:space="preserve">10% credit</w:t>
            </w:r>
          </w:p>
        </w:tc>
      </w:tr>
      <w:tr>
        <w:tc>
          <w:tcPr>
            <w:vAlign w:val="top"/>
          </w:tcPr>
          <w:p>
            <w:r>
              <w:rPr>
                <w:rFonts w:ascii="Arial" w:cs="Arial" w:eastAsia="Arial" w:hAnsi="Arial"/>
                <w:color w:val="0A0E12"/>
                <w:sz w:val="22"/>
                <w:szCs w:val="22"/>
              </w:rPr>
              <w:t xml:space="preserve">≥90.0% and &lt;95.0%</w:t>
            </w:r>
          </w:p>
        </w:tc>
        <w:tc>
          <w:tcPr>
            <w:vAlign w:val="top"/>
          </w:tcPr>
          <w:p>
            <w:r>
              <w:rPr>
                <w:rFonts w:ascii="Arial" w:cs="Arial" w:eastAsia="Arial" w:hAnsi="Arial"/>
                <w:color w:val="0A0E12"/>
                <w:sz w:val="22"/>
                <w:szCs w:val="22"/>
              </w:rPr>
              <w:t xml:space="preserve">20% credit</w:t>
            </w:r>
          </w:p>
        </w:tc>
      </w:tr>
      <w:tr>
        <w:tc>
          <w:tcPr>
            <w:shd w:fill="F5F2ED" w:color="F5F2ED" w:val="clear"/>
            <w:vAlign w:val="top"/>
          </w:tcPr>
          <w:p>
            <w:r>
              <w:rPr>
                <w:rFonts w:ascii="Arial" w:cs="Arial" w:eastAsia="Arial" w:hAnsi="Arial"/>
                <w:color w:val="0A0E12"/>
                <w:sz w:val="22"/>
                <w:szCs w:val="22"/>
              </w:rPr>
              <w:t xml:space="preserve">&lt;90.0%</w:t>
            </w:r>
          </w:p>
        </w:tc>
        <w:tc>
          <w:tcPr>
            <w:shd w:fill="F5F2ED" w:color="F5F2ED" w:val="clear"/>
            <w:vAlign w:val="top"/>
          </w:tcPr>
          <w:p>
            <w:r>
              <w:rPr>
                <w:rFonts w:ascii="Arial" w:cs="Arial" w:eastAsia="Arial" w:hAnsi="Arial"/>
                <w:color w:val="0A0E12"/>
                <w:sz w:val="22"/>
                <w:szCs w:val="22"/>
              </w:rPr>
              <w:t xml:space="preserve">25% credit (maximum)</w:t>
            </w:r>
          </w:p>
        </w:tc>
      </w:tr>
    </w:tbl>
    <w:p/>
    <w:p>
      <w:pPr>
        <w:spacing w:after="6" w:before="6"/>
      </w:pPr>
      <w:r>
        <w:rPr>
          <w:rFonts w:ascii="Arial" w:cs="Arial" w:eastAsia="Arial" w:hAnsi="Arial"/>
          <w:color w:val="0A0E12"/>
          <w:sz w:val="22"/>
          <w:szCs w:val="22"/>
        </w:rPr>
        <w:t xml:space="preserve">Service credits apply to the Customer’s next billing period. Credits are the sole and exclusive remedy for availability failures and do not constitute a right to terminate. Credits are forfeited if not claimed in writing within 30 days of the affected month-end.</w:t>
      </w:r>
    </w:p>
    <w:p>
      <w:pPr>
        <w:spacing w:after="6" w:before="6"/>
      </w:pPr>
      <w:r>
        <w:rPr>
          <w:rFonts w:ascii="Arial" w:cs="Arial" w:eastAsia="Arial" w:hAnsi="Arial"/>
          <w:color w:val="0A0E12"/>
          <w:sz w:val="22"/>
          <w:szCs w:val="22"/>
        </w:rPr>
        <w:t xml:space="preserve">Sev 1 incidents that trigger the credits policy are additionally subject to a 5% credit per incident, capped at 25% of the monthly fee in aggregate for any calendar month.</w:t>
      </w:r>
    </w:p>
    <w:p/>
    <w:p>
      <w:pPr>
        <w:pBdr>
          <w:bottom w:val="single" w:color="2D6E8A" w:sz="6"/>
        </w:pBdr>
        <w:spacing w:after="12" w:before="28"/>
      </w:pPr>
      <w:r>
        <w:rPr>
          <w:rFonts w:ascii="Arial" w:cs="Arial" w:eastAsia="Arial" w:hAnsi="Arial"/>
          <w:b/>
          <w:bCs/>
          <w:color w:val="2D6E8A"/>
          <w:sz w:val="28"/>
          <w:szCs w:val="28"/>
        </w:rPr>
        <w:t xml:space="preserve">6. Reporting</w:t>
      </w:r>
    </w:p>
    <w:p>
      <w:pPr>
        <w:spacing w:after="6" w:before="6"/>
      </w:pPr>
      <w:r>
        <w:rPr>
          <w:rFonts w:ascii="Arial" w:cs="Arial" w:eastAsia="Arial" w:hAnsi="Arial"/>
          <w:color w:val="0A0E12"/>
          <w:sz w:val="22"/>
          <w:szCs w:val="22"/>
        </w:rPr>
        <w:t xml:space="preserve">The Service Provider will publish a monthly availability report to all Academy and White-Label Customers by the 5th business day of the following month. The report will include:</w:t>
      </w:r>
    </w:p>
    <w:p>
      <w:pPr>
        <w:pStyle w:val="ListParagraph"/>
        <w:numPr>
          <w:ilvl w:val="0"/>
          <w:numId w:val="1"/>
        </w:numPr>
        <w:spacing w:after="4" w:before="4"/>
      </w:pPr>
      <w:r>
        <w:rPr>
          <w:rFonts w:ascii="Arial" w:cs="Arial" w:eastAsia="Arial" w:hAnsi="Arial"/>
          <w:color w:val="0A0E12"/>
          <w:sz w:val="22"/>
          <w:szCs w:val="22"/>
        </w:rPr>
        <w:t xml:space="preserve">Total uptime percentage for the prior calendar month.</w:t>
      </w:r>
    </w:p>
    <w:p>
      <w:pPr>
        <w:pStyle w:val="ListParagraph"/>
        <w:numPr>
          <w:ilvl w:val="0"/>
          <w:numId w:val="1"/>
        </w:numPr>
        <w:spacing w:after="4" w:before="4"/>
      </w:pPr>
      <w:r>
        <w:rPr>
          <w:rFonts w:ascii="Arial" w:cs="Arial" w:eastAsia="Arial" w:hAnsi="Arial"/>
          <w:color w:val="0A0E12"/>
          <w:sz w:val="22"/>
          <w:szCs w:val="22"/>
        </w:rPr>
        <w:t xml:space="preserve">A log of all Sev 1 and Sev 2 incidents: start time, duration, root cause, and remediation steps.</w:t>
      </w:r>
    </w:p>
    <w:p>
      <w:pPr>
        <w:pStyle w:val="ListParagraph"/>
        <w:numPr>
          <w:ilvl w:val="0"/>
          <w:numId w:val="1"/>
        </w:numPr>
        <w:spacing w:after="4" w:before="4"/>
      </w:pPr>
      <w:r>
        <w:rPr>
          <w:rFonts w:ascii="Arial" w:cs="Arial" w:eastAsia="Arial" w:hAnsi="Arial"/>
          <w:color w:val="0A0E12"/>
          <w:sz w:val="22"/>
          <w:szCs w:val="22"/>
        </w:rPr>
        <w:t xml:space="preserve">p95 performance metrics for all tracked indicators.</w:t>
      </w:r>
    </w:p>
    <w:p>
      <w:pPr>
        <w:pStyle w:val="ListParagraph"/>
        <w:numPr>
          <w:ilvl w:val="0"/>
          <w:numId w:val="1"/>
        </w:numPr>
        <w:spacing w:after="4" w:before="4"/>
      </w:pPr>
      <w:r>
        <w:rPr>
          <w:rFonts w:ascii="Arial" w:cs="Arial" w:eastAsia="Arial" w:hAnsi="Arial"/>
          <w:color w:val="0A0E12"/>
          <w:sz w:val="22"/>
          <w:szCs w:val="22"/>
        </w:rPr>
        <w:t xml:space="preserve">Planned maintenance windows for the forthcoming month.</w:t>
      </w:r>
    </w:p>
    <w:p>
      <w:pPr>
        <w:spacing w:after="6" w:before="6"/>
      </w:pPr>
      <w:r>
        <w:rPr>
          <w:rFonts w:ascii="Arial" w:cs="Arial" w:eastAsia="Arial" w:hAnsi="Arial"/>
          <w:color w:val="0A0E12"/>
          <w:sz w:val="22"/>
          <w:szCs w:val="22"/>
        </w:rPr>
        <w:t xml:space="preserve">Reports are delivered via email to the Customer’s nominated technical contact and are accessible in the Academy admin dashboard under “Service Reports.”</w:t>
      </w:r>
    </w:p>
    <w:p/>
    <w:p>
      <w:pPr>
        <w:pBdr>
          <w:bottom w:val="single" w:color="2D6E8A" w:sz="6"/>
        </w:pBdr>
        <w:spacing w:after="12" w:before="28"/>
      </w:pPr>
      <w:r>
        <w:rPr>
          <w:rFonts w:ascii="Arial" w:cs="Arial" w:eastAsia="Arial" w:hAnsi="Arial"/>
          <w:b/>
          <w:bCs/>
          <w:color w:val="2D6E8A"/>
          <w:sz w:val="28"/>
          <w:szCs w:val="28"/>
        </w:rPr>
        <w:t xml:space="preserve">7. Escalation Tree</w:t>
      </w:r>
    </w:p>
    <w:tbl>
      <w:tblPr>
        <w:tblW w:type="dxa" w:w="9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800"/>
        <w:gridCol w:w="3440"/>
      </w:tblGrid>
      <w:tr>
        <w:trPr>
          <w:tblHeader/>
        </w:trPr>
        <w:tc>
          <w:tcPr>
            <w:shd w:fill="2D6E8A" w:color="2D6E8A" w:val="clear"/>
            <w:vAlign w:val="center"/>
          </w:tcPr>
          <w:p>
            <w:r>
              <w:rPr>
                <w:rFonts w:ascii="Arial" w:cs="Arial" w:eastAsia="Arial" w:hAnsi="Arial"/>
                <w:b/>
                <w:bCs/>
                <w:color w:val="FFFFFF"/>
                <w:sz w:val="22"/>
                <w:szCs w:val="22"/>
              </w:rPr>
              <w:t xml:space="preserve">Level</w:t>
            </w:r>
          </w:p>
        </w:tc>
        <w:tc>
          <w:tcPr>
            <w:shd w:fill="2D6E8A" w:color="2D6E8A" w:val="clear"/>
            <w:vAlign w:val="center"/>
          </w:tcPr>
          <w:p>
            <w:r>
              <w:rPr>
                <w:rFonts w:ascii="Arial" w:cs="Arial" w:eastAsia="Arial" w:hAnsi="Arial"/>
                <w:b/>
                <w:bCs/>
                <w:color w:val="FFFFFF"/>
                <w:sz w:val="22"/>
                <w:szCs w:val="22"/>
              </w:rPr>
              <w:t xml:space="preserve">Contact</w:t>
            </w:r>
          </w:p>
        </w:tc>
        <w:tc>
          <w:tcPr>
            <w:shd w:fill="2D6E8A" w:color="2D6E8A" w:val="clear"/>
            <w:vAlign w:val="center"/>
          </w:tcPr>
          <w:p>
            <w:r>
              <w:rPr>
                <w:rFonts w:ascii="Arial" w:cs="Arial" w:eastAsia="Arial" w:hAnsi="Arial"/>
                <w:b/>
                <w:bCs/>
                <w:color w:val="FFFFFF"/>
                <w:sz w:val="22"/>
                <w:szCs w:val="22"/>
              </w:rPr>
              <w:t xml:space="preserve">Trigger</w:t>
            </w:r>
          </w:p>
        </w:tc>
      </w:tr>
      <w:tr>
        <w:tc>
          <w:tcPr>
            <w:vAlign w:val="top"/>
          </w:tcPr>
          <w:p>
            <w:r>
              <w:rPr>
                <w:rFonts w:ascii="Arial" w:cs="Arial" w:eastAsia="Arial" w:hAnsi="Arial"/>
                <w:color w:val="0A0E12"/>
                <w:sz w:val="22"/>
                <w:szCs w:val="22"/>
              </w:rPr>
              <w:t xml:space="preserve">L1 — Support</w:t>
            </w:r>
          </w:p>
        </w:tc>
        <w:tc>
          <w:tcPr>
            <w:vAlign w:val="top"/>
          </w:tcPr>
          <w:p>
            <w:r>
              <w:rPr>
                <w:rFonts w:ascii="Arial" w:cs="Arial" w:eastAsia="Arial" w:hAnsi="Arial"/>
                <w:color w:val="0A0E12"/>
                <w:sz w:val="22"/>
                <w:szCs w:val="22"/>
              </w:rPr>
              <w:t xml:space="preserve">support@flygaca.com  ·  Response per SLA tier</w:t>
            </w:r>
          </w:p>
        </w:tc>
        <w:tc>
          <w:tcPr>
            <w:vAlign w:val="top"/>
          </w:tcPr>
          <w:p>
            <w:r>
              <w:rPr>
                <w:rFonts w:ascii="Arial" w:cs="Arial" w:eastAsia="Arial" w:hAnsi="Arial"/>
                <w:color w:val="0A0E12"/>
                <w:sz w:val="22"/>
                <w:szCs w:val="22"/>
              </w:rPr>
              <w:t xml:space="preserve">All incidents and service requests</w:t>
            </w:r>
          </w:p>
        </w:tc>
      </w:tr>
      <w:tr>
        <w:tc>
          <w:tcPr>
            <w:shd w:fill="F5F2ED" w:color="F5F2ED" w:val="clear"/>
            <w:vAlign w:val="top"/>
          </w:tcPr>
          <w:p>
            <w:r>
              <w:rPr>
                <w:rFonts w:ascii="Arial" w:cs="Arial" w:eastAsia="Arial" w:hAnsi="Arial"/>
                <w:color w:val="0A0E12"/>
                <w:sz w:val="22"/>
                <w:szCs w:val="22"/>
              </w:rPr>
              <w:t xml:space="preserve">L2 — Engineering</w:t>
            </w:r>
          </w:p>
        </w:tc>
        <w:tc>
          <w:tcPr>
            <w:shd w:fill="F5F2ED" w:color="F5F2ED" w:val="clear"/>
            <w:vAlign w:val="top"/>
          </w:tcPr>
          <w:p>
            <w:r>
              <w:rPr>
                <w:rFonts w:ascii="Arial" w:cs="Arial" w:eastAsia="Arial" w:hAnsi="Arial"/>
                <w:color w:val="0A0E12"/>
                <w:sz w:val="22"/>
                <w:szCs w:val="22"/>
              </w:rPr>
              <w:t xml:space="preserve">Escalated internally by L1</w:t>
            </w:r>
          </w:p>
        </w:tc>
        <w:tc>
          <w:tcPr>
            <w:shd w:fill="F5F2ED" w:color="F5F2ED" w:val="clear"/>
            <w:vAlign w:val="top"/>
          </w:tcPr>
          <w:p>
            <w:r>
              <w:rPr>
                <w:rFonts w:ascii="Arial" w:cs="Arial" w:eastAsia="Arial" w:hAnsi="Arial"/>
                <w:color w:val="0A0E12"/>
                <w:sz w:val="22"/>
                <w:szCs w:val="22"/>
              </w:rPr>
              <w:t xml:space="preserve">Sev 1 or Sev 2 not resolved within 2 hours</w:t>
            </w:r>
          </w:p>
        </w:tc>
      </w:tr>
      <w:tr>
        <w:tc>
          <w:tcPr>
            <w:vAlign w:val="top"/>
          </w:tcPr>
          <w:p>
            <w:r>
              <w:rPr>
                <w:rFonts w:ascii="Arial" w:cs="Arial" w:eastAsia="Arial" w:hAnsi="Arial"/>
                <w:color w:val="0A0E12"/>
                <w:sz w:val="22"/>
                <w:szCs w:val="22"/>
              </w:rPr>
              <w:t xml:space="preserve">L3 — Founder</w:t>
            </w:r>
          </w:p>
        </w:tc>
        <w:tc>
          <w:tcPr>
            <w:vAlign w:val="top"/>
          </w:tcPr>
          <w:p>
            <w:r>
              <w:rPr>
                <w:rFonts w:ascii="Arial" w:cs="Arial" w:eastAsia="Arial" w:hAnsi="Arial"/>
                <w:color w:val="0A0E12"/>
                <w:sz w:val="22"/>
                <w:szCs w:val="22"/>
              </w:rPr>
              <w:t xml:space="preserve">Captain Adel Yahya A. Madkhali  ·  Direct WhatsApp (on Order Form)</w:t>
            </w:r>
          </w:p>
        </w:tc>
        <w:tc>
          <w:tcPr>
            <w:vAlign w:val="top"/>
          </w:tcPr>
          <w:p>
            <w:r>
              <w:rPr>
                <w:rFonts w:ascii="Arial" w:cs="Arial" w:eastAsia="Arial" w:hAnsi="Arial"/>
                <w:color w:val="0A0E12"/>
                <w:sz w:val="22"/>
                <w:szCs w:val="22"/>
              </w:rPr>
              <w:t xml:space="preserve">Sev 1 not resolved within 4 hours; contractual disputes; data breach</w:t>
            </w:r>
          </w:p>
        </w:tc>
      </w:tr>
    </w:tbl>
    <w:p/>
    <w:p>
      <w:pPr>
        <w:pBdr>
          <w:bottom w:val="single" w:color="2D6E8A" w:sz="6"/>
        </w:pBdr>
        <w:spacing w:after="12" w:before="28"/>
      </w:pPr>
      <w:r>
        <w:rPr>
          <w:rFonts w:ascii="Arial" w:cs="Arial" w:eastAsia="Arial" w:hAnsi="Arial"/>
          <w:b/>
          <w:bCs/>
          <w:color w:val="2D6E8A"/>
          <w:sz w:val="28"/>
          <w:szCs w:val="28"/>
        </w:rPr>
        <w:t xml:space="preserve">8. Exceptions and Limitations</w:t>
      </w:r>
    </w:p>
    <w:p>
      <w:pPr>
        <w:spacing w:after="6" w:before="6"/>
      </w:pPr>
      <w:r>
        <w:rPr>
          <w:rFonts w:ascii="Arial" w:cs="Arial" w:eastAsia="Arial" w:hAnsi="Arial"/>
          <w:color w:val="0A0E12"/>
          <w:sz w:val="22"/>
          <w:szCs w:val="22"/>
        </w:rPr>
        <w:t xml:space="preserve">This SLA does not apply to:</w:t>
      </w:r>
    </w:p>
    <w:p>
      <w:pPr>
        <w:pStyle w:val="ListParagraph"/>
        <w:numPr>
          <w:ilvl w:val="0"/>
          <w:numId w:val="1"/>
        </w:numPr>
        <w:spacing w:after="4" w:before="4"/>
      </w:pPr>
      <w:r>
        <w:rPr>
          <w:rFonts w:ascii="Arial" w:cs="Arial" w:eastAsia="Arial" w:hAnsi="Arial"/>
          <w:color w:val="0A0E12"/>
          <w:sz w:val="22"/>
          <w:szCs w:val="22"/>
        </w:rPr>
        <w:t xml:space="preserve">Free tier (Freemium) accounts, which receive best-effort support with no uptime commitment.</w:t>
      </w:r>
    </w:p>
    <w:p>
      <w:pPr>
        <w:pStyle w:val="ListParagraph"/>
        <w:numPr>
          <w:ilvl w:val="0"/>
          <w:numId w:val="1"/>
        </w:numPr>
        <w:spacing w:after="4" w:before="4"/>
      </w:pPr>
      <w:r>
        <w:rPr>
          <w:rFonts w:ascii="Arial" w:cs="Arial" w:eastAsia="Arial" w:hAnsi="Arial"/>
          <w:color w:val="0A0E12"/>
          <w:sz w:val="22"/>
          <w:szCs w:val="22"/>
        </w:rPr>
        <w:t xml:space="preserve">Pro individual subscriber accounts (29 SAR/month), which receive standard support but no SLA credits.</w:t>
      </w:r>
    </w:p>
    <w:p>
      <w:pPr>
        <w:pStyle w:val="ListParagraph"/>
        <w:numPr>
          <w:ilvl w:val="0"/>
          <w:numId w:val="1"/>
        </w:numPr>
        <w:spacing w:after="4" w:before="4"/>
      </w:pPr>
      <w:r>
        <w:rPr>
          <w:rFonts w:ascii="Arial" w:cs="Arial" w:eastAsia="Arial" w:hAnsi="Arial"/>
          <w:color w:val="0A0E12"/>
          <w:sz w:val="22"/>
          <w:szCs w:val="22"/>
        </w:rPr>
        <w:t xml:space="preserve">Beta or preview features explicitly labelled as such in the interface.</w:t>
      </w:r>
    </w:p>
    <w:p>
      <w:pPr>
        <w:pStyle w:val="ListParagraph"/>
        <w:numPr>
          <w:ilvl w:val="0"/>
          <w:numId w:val="1"/>
        </w:numPr>
        <w:spacing w:after="4" w:before="4"/>
      </w:pPr>
      <w:r>
        <w:rPr>
          <w:rFonts w:ascii="Arial" w:cs="Arial" w:eastAsia="Arial" w:hAnsi="Arial"/>
          <w:color w:val="0A0E12"/>
          <w:sz w:val="22"/>
          <w:szCs w:val="22"/>
        </w:rPr>
        <w:t xml:space="preserve">Any service disruption resulting from Customer failure to maintain current payment status.</w:t>
      </w:r>
    </w:p>
    <w:p>
      <w:pPr>
        <w:spacing w:after="6" w:before="6"/>
      </w:pPr>
      <w:r>
        <w:rPr>
          <w:rFonts w:ascii="Arial" w:cs="Arial" w:eastAsia="Arial" w:hAnsi="Arial"/>
          <w:color w:val="0A0E12"/>
          <w:sz w:val="22"/>
          <w:szCs w:val="22"/>
        </w:rPr>
        <w:t xml:space="preserve">The Service Provider’s total liability for SLA breaches in any calendar year shall not exceed the total fees paid by the Customer in that year.</w:t>
      </w:r>
    </w:p>
    <w:p/>
    <w:p>
      <w:pPr>
        <w:pBdr>
          <w:bottom w:val="single" w:color="2D6E8A" w:sz="6"/>
        </w:pBdr>
        <w:spacing w:after="12" w:before="28"/>
      </w:pPr>
      <w:r>
        <w:rPr>
          <w:rFonts w:ascii="Arial" w:cs="Arial" w:eastAsia="Arial" w:hAnsi="Arial"/>
          <w:b/>
          <w:bCs/>
          <w:color w:val="2D6E8A"/>
          <w:sz w:val="28"/>
          <w:szCs w:val="28"/>
        </w:rPr>
        <w:t xml:space="preserve">9. Governing Law and Dispute Resolution</w:t>
      </w:r>
    </w:p>
    <w:p>
      <w:pPr>
        <w:spacing w:after="6" w:before="6"/>
      </w:pPr>
      <w:r>
        <w:rPr>
          <w:rFonts w:ascii="Arial" w:cs="Arial" w:eastAsia="Arial" w:hAnsi="Arial"/>
          <w:color w:val="0A0E12"/>
          <w:sz w:val="22"/>
          <w:szCs w:val="22"/>
        </w:rPr>
        <w:t xml:space="preserve">This SLA is governed exclusively by the laws of the Kingdom of Saudi Arabia. Any dispute not resolved informally within 30 days shall be referred to the competent courts in Riyadh, KSA.</w:t>
      </w:r>
    </w:p>
    <w:p>
      <w:pPr>
        <w:spacing w:after="6" w:before="6"/>
      </w:pPr>
      <w:r>
        <w:rPr>
          <w:rFonts w:ascii="Arial" w:cs="Arial" w:eastAsia="Arial" w:hAnsi="Arial"/>
          <w:color w:val="0A0E12"/>
          <w:sz w:val="22"/>
          <w:szCs w:val="22"/>
        </w:rPr>
        <w:t xml:space="preserve">Both parties agree to attempt good-faith negotiation for a minimum of 30 calendar days before initiating formal proceedings.</w:t>
      </w:r>
    </w:p>
    <w:p/>
    <w:p>
      <w:pPr>
        <w:pBdr>
          <w:bottom w:val="single" w:color="2D6E8A" w:sz="6"/>
        </w:pBdr>
        <w:spacing w:after="12" w:before="28"/>
      </w:pPr>
      <w:r>
        <w:rPr>
          <w:rFonts w:ascii="Arial" w:cs="Arial" w:eastAsia="Arial" w:hAnsi="Arial"/>
          <w:b/>
          <w:bCs/>
          <w:color w:val="2D6E8A"/>
          <w:sz w:val="28"/>
          <w:szCs w:val="28"/>
        </w:rPr>
        <w:t xml:space="preserve">10. Review and Amendment</w:t>
      </w:r>
    </w:p>
    <w:p>
      <w:pPr>
        <w:spacing w:after="6" w:before="6"/>
      </w:pPr>
      <w:r>
        <w:rPr>
          <w:rFonts w:ascii="Arial" w:cs="Arial" w:eastAsia="Arial" w:hAnsi="Arial"/>
          <w:color w:val="0A0E12"/>
          <w:sz w:val="22"/>
          <w:szCs w:val="22"/>
        </w:rPr>
        <w:t xml:space="preserve">This SLA is reviewed annually. The Service Provider may update targets, credit percentages, or response times with 60 days’ written notice. Customers who do not accept amended terms may terminate for convenience at the end of the current billing period without penalty.</w:t>
      </w:r>
    </w:p>
    <w:p/>
    <w:p>
      <w:pPr>
        <w:spacing w:after="6" w:before="6"/>
      </w:pPr>
      <w:r>
        <w:rPr>
          <w:rFonts w:ascii="Arial" w:cs="Arial" w:eastAsia="Arial" w:hAnsi="Arial"/>
          <w:color w:val="0A0E12"/>
          <w:sz w:val="22"/>
          <w:szCs w:val="22"/>
        </w:rPr>
        <w:t xml:space="preserve">Fly GACA  ·  v1.0  ·  May 2026  ·  Confidential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Fly GACA  ·  GTM  ·  Confidential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2026-05-05T02:52:33.748Z</dcterms:created>
  <dcterms:modified xsi:type="dcterms:W3CDTF">2026-05-05T02:52:33.748Z</dcterms:modified>
</cp:coreProperties>
</file>

<file path=docProps/custom.xml><?xml version="1.0" encoding="utf-8"?>
<Properties xmlns="http://schemas.openxmlformats.org/officeDocument/2006/custom-properties" xmlns:vt="http://schemas.openxmlformats.org/officeDocument/2006/docPropsVTypes"/>
</file>