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E8A" w:val="clear"/>
            <w:tcMar>
              <w:top w:type="dxa" w:w="320"/>
              <w:left w:type="dxa" w:w="360"/>
              <w:bottom w:type="dxa" w:w="200"/>
              <w:right w:type="dxa" w:w="360"/>
            </w:tcMar>
          </w:tcPr>
          <w:p>
            <w:pPr>
              <w:spacing w:after="80"/>
            </w:pPr>
            <w:r>
              <w:rPr>
                <w:rFonts w:ascii="Arial" w:cs="Arial" w:eastAsia="Arial" w:hAnsi="Arial"/>
                <w:b/>
                <w:bCs/>
                <w:color w:val="FFFFFF"/>
                <w:sz w:val="48"/>
                <w:szCs w:val="48"/>
              </w:rPr>
              <w:t xml:space="preserve">PDPL Compliance Program &amp; DPIA</w:t>
            </w:r>
          </w:p>
          <w:p>
            <w:r>
              <w:rPr>
                <w:rFonts w:ascii="Arial" w:cs="Arial" w:eastAsia="Arial" w:hAnsi="Arial"/>
                <w:color w:val="F5F2ED"/>
                <w:sz w:val="24"/>
                <w:szCs w:val="24"/>
              </w:rPr>
              <w:t xml:space="preserve">Fly GACA — Privacy Framework v1.0 — May 2026</w:t>
            </w:r>
          </w:p>
        </w:tc>
      </w:tr>
    </w:tbl>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Framework aligned to: Saudi PDPL (Royal Decree M/19, effective Sept 2023) and SDAIA implementing regulations.</w:t>
      </w:r>
    </w:p>
    <w:p>
      <w:pPr>
        <w:spacing w:after="60" w:before="60"/>
        <w:jc w:val="left"/>
      </w:pPr>
      <w:r>
        <w:rPr>
          <w:rFonts w:ascii="Arial" w:cs="Arial" w:eastAsia="Arial" w:hAnsi="Arial"/>
          <w:b w:val="false"/>
          <w:bCs w:val="false"/>
          <w:i w:val="false"/>
          <w:iCs w:val="false"/>
          <w:color w:val="0A0E12"/>
          <w:sz w:val="22"/>
          <w:szCs w:val="22"/>
        </w:rPr>
        <w:t xml:space="preserve">Document owner: Adel Yahya A. Madkhali (DPO until 50+ employees) — i@flygaca.com</w:t>
      </w:r>
    </w:p>
    <w:p>
      <w:r>
        <w:t xml:space="preserve"/>
      </w:r>
    </w:p>
    <w:p>
      <w:r>
        <w:t xml:space="preserve"/>
      </w:r>
    </w:p>
    <w:p>
      <w:pPr>
        <w:pStyle w:val="Heading1"/>
        <w:spacing w:after="120" w:before="280"/>
      </w:pPr>
      <w:r>
        <w:rPr>
          <w:rFonts w:ascii="Arial" w:cs="Arial" w:eastAsia="Arial" w:hAnsi="Arial"/>
          <w:b/>
          <w:bCs/>
          <w:color w:val="2D6E8A"/>
          <w:sz w:val="28"/>
          <w:szCs w:val="28"/>
        </w:rPr>
        <w:t xml:space="preserve">PART A: PDPL Compliance Program</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A1. Scope &amp; Lawful Bases</w:t>
      </w:r>
    </w:p>
    <w:p>
      <w:pPr>
        <w:spacing w:after="60" w:before="60"/>
        <w:jc w:val="left"/>
      </w:pPr>
      <w:r>
        <w:rPr>
          <w:rFonts w:ascii="Arial" w:cs="Arial" w:eastAsia="Arial" w:hAnsi="Arial"/>
          <w:b w:val="false"/>
          <w:bCs w:val="false"/>
          <w:i w:val="false"/>
          <w:iCs w:val="false"/>
          <w:color w:val="0A0E12"/>
          <w:sz w:val="22"/>
          <w:szCs w:val="22"/>
        </w:rPr>
        <w:t xml:space="preserve">Fly GACA processes personal data of Saudi pilots and students through its web and mobile platform. Three lawful bases apply:</w:t>
      </w:r>
    </w:p>
    <w:p>
      <w:pPr>
        <w:pStyle w:val="ListParagraph"/>
        <w:numPr>
          <w:ilvl w:val="0"/>
          <w:numId w:val="2"/>
        </w:numPr>
        <w:spacing w:after="40" w:before="40"/>
      </w:pPr>
      <w:r>
        <w:rPr>
          <w:rFonts w:ascii="Arial" w:cs="Arial" w:eastAsia="Arial" w:hAnsi="Arial"/>
          <w:color w:val="0A0E12"/>
          <w:sz w:val="22"/>
          <w:szCs w:val="22"/>
        </w:rPr>
        <w:t xml:space="preserve">Consent — marketing communications, optional analytics opt-in, beta program enrolment.</w:t>
      </w:r>
    </w:p>
    <w:p>
      <w:pPr>
        <w:pStyle w:val="ListParagraph"/>
        <w:numPr>
          <w:ilvl w:val="0"/>
          <w:numId w:val="2"/>
        </w:numPr>
        <w:spacing w:after="40" w:before="40"/>
      </w:pPr>
      <w:r>
        <w:rPr>
          <w:rFonts w:ascii="Arial" w:cs="Arial" w:eastAsia="Arial" w:hAnsi="Arial"/>
          <w:color w:val="0A0E12"/>
          <w:sz w:val="22"/>
          <w:szCs w:val="22"/>
        </w:rPr>
        <w:t xml:space="preserve">Contract — service delivery (AI tutoring, exam prep, academy dashboard access) pursuant to Terms of Service.</w:t>
      </w:r>
    </w:p>
    <w:p>
      <w:pPr>
        <w:pStyle w:val="ListParagraph"/>
        <w:numPr>
          <w:ilvl w:val="0"/>
          <w:numId w:val="2"/>
        </w:numPr>
        <w:spacing w:after="40" w:before="40"/>
      </w:pPr>
      <w:r>
        <w:rPr>
          <w:rFonts w:ascii="Arial" w:cs="Arial" w:eastAsia="Arial" w:hAnsi="Arial"/>
          <w:color w:val="0A0E12"/>
          <w:sz w:val="22"/>
          <w:szCs w:val="22"/>
        </w:rPr>
        <w:t xml:space="preserve">Legitimate interest — platform security, fraud prevention, abuse detection, and product analytics (with balancing test documented).</w:t>
      </w:r>
    </w:p>
    <w:p>
      <w:pPr>
        <w:pStyle w:val="Heading2"/>
        <w:spacing w:after="80" w:before="200"/>
      </w:pPr>
      <w:r>
        <w:rPr>
          <w:rFonts w:ascii="Arial" w:cs="Arial" w:eastAsia="Arial" w:hAnsi="Arial"/>
          <w:b/>
          <w:bCs/>
          <w:color w:val="0A0E12"/>
          <w:sz w:val="24"/>
          <w:szCs w:val="24"/>
        </w:rPr>
        <w:t xml:space="preserve">A2.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1560"/>
        <w:gridCol w:w="2800"/>
      </w:tblGrid>
      <w:tr>
        <w:tc>
          <w:tcPr>
            <w:tcW w:type="dxa" w:w="1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Lawful basis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Name, email, phone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Account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Life of account + 1yr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Contract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GACA licence 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User-provided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Licence verification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Life of account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Contract / Legitimate interest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Chat queries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In-app interaction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AI response generation, quality eval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90 days rolling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Contract / Legitimate interest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Exam scores, progress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Platform activity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Progress tracking, instructor dashboard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Life of account + 2yr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Contract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Payment data (tokenised)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Moyasar (PCI)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Subscription billing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7 years (tax)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Contract / Legal obligation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Device / usage logs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Firebase Analytics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Security, product analytics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12 months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Legitimate interest</w:t>
            </w:r>
          </w:p>
        </w:tc>
      </w:tr>
    </w:tbl>
    <w:p>
      <w:pPr>
        <w:pStyle w:val="Heading2"/>
        <w:spacing w:after="80" w:before="200"/>
      </w:pPr>
      <w:r>
        <w:rPr>
          <w:rFonts w:ascii="Arial" w:cs="Arial" w:eastAsia="Arial" w:hAnsi="Arial"/>
          <w:b/>
          <w:bCs/>
          <w:color w:val="0A0E12"/>
          <w:sz w:val="24"/>
          <w:szCs w:val="24"/>
        </w:rPr>
        <w:t xml:space="preserve">A3. Data Subject Rights</w:t>
      </w:r>
    </w:p>
    <w:p>
      <w:pPr>
        <w:spacing w:after="60" w:before="60"/>
        <w:jc w:val="left"/>
      </w:pPr>
      <w:r>
        <w:rPr>
          <w:rFonts w:ascii="Arial" w:cs="Arial" w:eastAsia="Arial" w:hAnsi="Arial"/>
          <w:b w:val="false"/>
          <w:bCs w:val="false"/>
          <w:i w:val="false"/>
          <w:iCs w:val="false"/>
          <w:color w:val="0A0E12"/>
          <w:sz w:val="22"/>
          <w:szCs w:val="22"/>
        </w:rPr>
        <w:t xml:space="preserve">All rights requests must be fulfilled within 30 calendar days (PDPL Article 7–12). Process:</w:t>
      </w:r>
    </w:p>
    <w:p>
      <w:pPr>
        <w:pStyle w:val="ListParagraph"/>
        <w:numPr>
          <w:ilvl w:val="0"/>
          <w:numId w:val="2"/>
        </w:numPr>
        <w:spacing w:after="40" w:before="40"/>
      </w:pPr>
      <w:r>
        <w:rPr>
          <w:rFonts w:ascii="Arial" w:cs="Arial" w:eastAsia="Arial" w:hAnsi="Arial"/>
          <w:color w:val="0A0E12"/>
          <w:sz w:val="22"/>
          <w:szCs w:val="22"/>
        </w:rPr>
        <w:t xml:space="preserve">Access — user submits request via privacy@flygaca.com; export provided as JSON within 30 days.</w:t>
      </w:r>
    </w:p>
    <w:p>
      <w:pPr>
        <w:pStyle w:val="ListParagraph"/>
        <w:numPr>
          <w:ilvl w:val="0"/>
          <w:numId w:val="2"/>
        </w:numPr>
        <w:spacing w:after="40" w:before="40"/>
      </w:pPr>
      <w:r>
        <w:rPr>
          <w:rFonts w:ascii="Arial" w:cs="Arial" w:eastAsia="Arial" w:hAnsi="Arial"/>
          <w:color w:val="0A0E12"/>
          <w:sz w:val="22"/>
          <w:szCs w:val="22"/>
        </w:rPr>
        <w:t xml:space="preserve">Rectification — user updates in-app or requests via email; corrected within 10 days.</w:t>
      </w:r>
    </w:p>
    <w:p>
      <w:pPr>
        <w:pStyle w:val="ListParagraph"/>
        <w:numPr>
          <w:ilvl w:val="0"/>
          <w:numId w:val="2"/>
        </w:numPr>
        <w:spacing w:after="40" w:before="40"/>
      </w:pPr>
      <w:r>
        <w:rPr>
          <w:rFonts w:ascii="Arial" w:cs="Arial" w:eastAsia="Arial" w:hAnsi="Arial"/>
          <w:color w:val="0A0E12"/>
          <w:sz w:val="22"/>
          <w:szCs w:val="22"/>
        </w:rPr>
        <w:t xml:space="preserve">Erasure — account deletion wipes all PII; anonymised aggregate data retained for analytics.</w:t>
      </w:r>
    </w:p>
    <w:p>
      <w:pPr>
        <w:pStyle w:val="ListParagraph"/>
        <w:numPr>
          <w:ilvl w:val="0"/>
          <w:numId w:val="2"/>
        </w:numPr>
        <w:spacing w:after="40" w:before="40"/>
      </w:pPr>
      <w:r>
        <w:rPr>
          <w:rFonts w:ascii="Arial" w:cs="Arial" w:eastAsia="Arial" w:hAnsi="Arial"/>
          <w:color w:val="0A0E12"/>
          <w:sz w:val="22"/>
          <w:szCs w:val="22"/>
        </w:rPr>
        <w:t xml:space="preserve">Restriction — processing halted pending resolution; flagged in Firestore user document.</w:t>
      </w:r>
    </w:p>
    <w:p>
      <w:pPr>
        <w:pStyle w:val="ListParagraph"/>
        <w:numPr>
          <w:ilvl w:val="0"/>
          <w:numId w:val="2"/>
        </w:numPr>
        <w:spacing w:after="40" w:before="40"/>
      </w:pPr>
      <w:r>
        <w:rPr>
          <w:rFonts w:ascii="Arial" w:cs="Arial" w:eastAsia="Arial" w:hAnsi="Arial"/>
          <w:color w:val="0A0E12"/>
          <w:sz w:val="22"/>
          <w:szCs w:val="22"/>
        </w:rPr>
        <w:t xml:space="preserve">Portability — structured JSON export provided within 30 days.</w:t>
      </w:r>
    </w:p>
    <w:p>
      <w:pPr>
        <w:pStyle w:val="ListParagraph"/>
        <w:numPr>
          <w:ilvl w:val="0"/>
          <w:numId w:val="2"/>
        </w:numPr>
        <w:spacing w:after="40" w:before="40"/>
      </w:pPr>
      <w:r>
        <w:rPr>
          <w:rFonts w:ascii="Arial" w:cs="Arial" w:eastAsia="Arial" w:hAnsi="Arial"/>
          <w:color w:val="0A0E12"/>
          <w:sz w:val="22"/>
          <w:szCs w:val="22"/>
        </w:rPr>
        <w:t xml:space="preserve">Objection to automated decision-making — human review available upon request for any AI-generated assessment.</w:t>
      </w:r>
    </w:p>
    <w:p>
      <w:pPr>
        <w:spacing w:after="60" w:before="60"/>
        <w:jc w:val="left"/>
      </w:pPr>
      <w:r>
        <w:rPr>
          <w:rFonts w:ascii="Arial" w:cs="Arial" w:eastAsia="Arial" w:hAnsi="Arial"/>
          <w:b w:val="false"/>
          <w:bCs w:val="false"/>
          <w:i w:val="false"/>
          <w:iCs w:val="false"/>
          <w:color w:val="0A0E12"/>
          <w:sz w:val="22"/>
          <w:szCs w:val="22"/>
        </w:rPr>
        <w:t xml:space="preserve">All requests logged in the Rights Requests Register (maintained in Firestore ‘privacy_requests’ collection).</w:t>
      </w:r>
    </w:p>
    <w:p>
      <w:pPr>
        <w:pStyle w:val="Heading2"/>
        <w:spacing w:after="80" w:before="200"/>
      </w:pPr>
      <w:r>
        <w:rPr>
          <w:rFonts w:ascii="Arial" w:cs="Arial" w:eastAsia="Arial" w:hAnsi="Arial"/>
          <w:b/>
          <w:bCs/>
          <w:color w:val="0A0E12"/>
          <w:sz w:val="24"/>
          <w:szCs w:val="24"/>
        </w:rPr>
        <w:t xml:space="preserve">A4. Cross-Border Transfer Rules</w:t>
      </w:r>
    </w:p>
    <w:p>
      <w:pPr>
        <w:spacing w:after="60" w:before="60"/>
        <w:jc w:val="left"/>
      </w:pPr>
      <w:r>
        <w:rPr>
          <w:rFonts w:ascii="Arial" w:cs="Arial" w:eastAsia="Arial" w:hAnsi="Arial"/>
          <w:b w:val="false"/>
          <w:bCs w:val="false"/>
          <w:i w:val="false"/>
          <w:iCs w:val="false"/>
          <w:color w:val="0A0E12"/>
          <w:sz w:val="22"/>
          <w:szCs w:val="22"/>
        </w:rPr>
        <w:t xml:space="preserve">No personal data is transferred outside KSA except where sub-processors have: (a) SDAIA-recognised adequacy, or (b) Standard Contractual Clauses (SCCs) or equivalent DPA in place. Current transfer map:</w:t>
      </w:r>
    </w:p>
    <w:p>
      <w:pPr>
        <w:pStyle w:val="ListParagraph"/>
        <w:numPr>
          <w:ilvl w:val="0"/>
          <w:numId w:val="2"/>
        </w:numPr>
        <w:spacing w:after="40" w:before="40"/>
      </w:pPr>
      <w:r>
        <w:rPr>
          <w:rFonts w:ascii="Arial" w:cs="Arial" w:eastAsia="Arial" w:hAnsi="Arial"/>
          <w:color w:val="0A0E12"/>
          <w:sz w:val="22"/>
          <w:szCs w:val="22"/>
        </w:rPr>
        <w:t xml:space="preserve">Google Cloud me-central2 (Dammam) — all primary storage and inference: IN KSA. No transfer.</w:t>
      </w:r>
    </w:p>
    <w:p>
      <w:pPr>
        <w:pStyle w:val="ListParagraph"/>
        <w:numPr>
          <w:ilvl w:val="0"/>
          <w:numId w:val="2"/>
        </w:numPr>
        <w:spacing w:after="40" w:before="40"/>
      </w:pPr>
      <w:r>
        <w:rPr>
          <w:rFonts w:ascii="Arial" w:cs="Arial" w:eastAsia="Arial" w:hAnsi="Arial"/>
          <w:color w:val="0A0E12"/>
          <w:sz w:val="22"/>
          <w:szCs w:val="22"/>
        </w:rPr>
        <w:t xml:space="preserve">Moyasar — KSA-registered payment processor: IN KSA. No transfer.</w:t>
      </w:r>
    </w:p>
    <w:p>
      <w:pPr>
        <w:pStyle w:val="ListParagraph"/>
        <w:numPr>
          <w:ilvl w:val="0"/>
          <w:numId w:val="2"/>
        </w:numPr>
        <w:spacing w:after="40" w:before="40"/>
      </w:pPr>
      <w:r>
        <w:rPr>
          <w:rFonts w:ascii="Arial" w:cs="Arial" w:eastAsia="Arial" w:hAnsi="Arial"/>
          <w:color w:val="0A0E12"/>
          <w:sz w:val="22"/>
          <w:szCs w:val="22"/>
        </w:rPr>
        <w:t xml:space="preserve">Future analytics vendor — must meet above criteria before onboarding.</w:t>
      </w:r>
    </w:p>
    <w:p>
      <w:pPr>
        <w:pStyle w:val="Heading2"/>
        <w:spacing w:after="80" w:before="200"/>
      </w:pPr>
      <w:r>
        <w:rPr>
          <w:rFonts w:ascii="Arial" w:cs="Arial" w:eastAsia="Arial" w:hAnsi="Arial"/>
          <w:b/>
          <w:bCs/>
          <w:color w:val="0A0E12"/>
          <w:sz w:val="24"/>
          <w:szCs w:val="24"/>
        </w:rPr>
        <w:t xml:space="preserve">A5. Sub-Processor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Sub-processor</w:t>
            </w:r>
          </w:p>
        </w:tc>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2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DPA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Google Cloud Saudi / Firebase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Compute, DB, Auth, AI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me-central2, KSA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Google DPA signed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Moyasar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Payment processing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KSA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Moyasar ToS + DPA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Future: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Usage analytics (TBD)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TBD — KSA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Required before onboarding</w:t>
            </w:r>
          </w:p>
        </w:tc>
      </w:tr>
    </w:tbl>
    <w:p>
      <w:pPr>
        <w:pStyle w:val="Heading2"/>
        <w:spacing w:after="80" w:before="200"/>
      </w:pPr>
      <w:r>
        <w:rPr>
          <w:rFonts w:ascii="Arial" w:cs="Arial" w:eastAsia="Arial" w:hAnsi="Arial"/>
          <w:b/>
          <w:bCs/>
          <w:color w:val="0A0E12"/>
          <w:sz w:val="24"/>
          <w:szCs w:val="24"/>
        </w:rPr>
        <w:t xml:space="preserve">A6. Privacy Notice Requirements</w:t>
      </w:r>
    </w:p>
    <w:p>
      <w:pPr>
        <w:spacing w:after="60" w:before="60"/>
        <w:jc w:val="left"/>
      </w:pPr>
      <w:r>
        <w:rPr>
          <w:rFonts w:ascii="Arial" w:cs="Arial" w:eastAsia="Arial" w:hAnsi="Arial"/>
          <w:b w:val="false"/>
          <w:bCs w:val="false"/>
          <w:i w:val="false"/>
          <w:iCs w:val="false"/>
          <w:color w:val="0A0E12"/>
          <w:sz w:val="22"/>
          <w:szCs w:val="22"/>
        </w:rPr>
        <w:t xml:space="preserve">A public Privacy Policy (EN + AR) is published at flygaca.com/privacy. Required disclosures: controller identity, data categories, purposes, lawful bases, retention periods, sub-processors, data subject rights, and DPO contact. Policy reviewed annually and updated within 30 days of any material processing change.</w:t>
      </w:r>
    </w:p>
    <w:p>
      <w:pPr>
        <w:pStyle w:val="Heading2"/>
        <w:spacing w:after="80" w:before="200"/>
      </w:pPr>
      <w:r>
        <w:rPr>
          <w:rFonts w:ascii="Arial" w:cs="Arial" w:eastAsia="Arial" w:hAnsi="Arial"/>
          <w:b/>
          <w:bCs/>
          <w:color w:val="0A0E12"/>
          <w:sz w:val="24"/>
          <w:szCs w:val="24"/>
        </w:rPr>
        <w:t xml:space="preserve">A7. Breach Response Procedure</w:t>
      </w:r>
    </w:p>
    <w:p>
      <w:pPr>
        <w:pStyle w:val="ListParagraph"/>
        <w:numPr>
          <w:ilvl w:val="0"/>
          <w:numId w:val="2"/>
        </w:numPr>
        <w:spacing w:after="40" w:before="40"/>
      </w:pPr>
      <w:r>
        <w:rPr>
          <w:rFonts w:ascii="Arial" w:cs="Arial" w:eastAsia="Arial" w:hAnsi="Arial"/>
          <w:color w:val="0A0E12"/>
          <w:sz w:val="22"/>
          <w:szCs w:val="22"/>
        </w:rPr>
        <w:t xml:space="preserve">Hour 0–1: Contain the breach — isolate affected system, revoke compromised credentials.</w:t>
      </w:r>
    </w:p>
    <w:p>
      <w:pPr>
        <w:pStyle w:val="ListParagraph"/>
        <w:numPr>
          <w:ilvl w:val="0"/>
          <w:numId w:val="2"/>
        </w:numPr>
        <w:spacing w:after="40" w:before="40"/>
      </w:pPr>
      <w:r>
        <w:rPr>
          <w:rFonts w:ascii="Arial" w:cs="Arial" w:eastAsia="Arial" w:hAnsi="Arial"/>
          <w:color w:val="0A0E12"/>
          <w:sz w:val="22"/>
          <w:szCs w:val="22"/>
        </w:rPr>
        <w:t xml:space="preserve">Hour 1–4: Assess scope — categories of data, number of affected users, likely harm.</w:t>
      </w:r>
    </w:p>
    <w:p>
      <w:pPr>
        <w:pStyle w:val="ListParagraph"/>
        <w:numPr>
          <w:ilvl w:val="0"/>
          <w:numId w:val="2"/>
        </w:numPr>
        <w:spacing w:after="40" w:before="40"/>
      </w:pPr>
      <w:r>
        <w:rPr>
          <w:rFonts w:ascii="Arial" w:cs="Arial" w:eastAsia="Arial" w:hAnsi="Arial"/>
          <w:color w:val="0A0E12"/>
          <w:sz w:val="22"/>
          <w:szCs w:val="22"/>
        </w:rPr>
        <w:t xml:space="preserve">Hour 4–72: Notify SDAIA via the official breach notification portal — even if investigation is ongoing.</w:t>
      </w:r>
    </w:p>
    <w:p>
      <w:pPr>
        <w:pStyle w:val="ListParagraph"/>
        <w:numPr>
          <w:ilvl w:val="0"/>
          <w:numId w:val="2"/>
        </w:numPr>
        <w:spacing w:after="40" w:before="40"/>
      </w:pPr>
      <w:r>
        <w:rPr>
          <w:rFonts w:ascii="Arial" w:cs="Arial" w:eastAsia="Arial" w:hAnsi="Arial"/>
          <w:color w:val="0A0E12"/>
          <w:sz w:val="22"/>
          <w:szCs w:val="22"/>
        </w:rPr>
        <w:t xml:space="preserve">Day 1–5: Notify affected users if high risk of harm — via email + in-app notification.</w:t>
      </w:r>
    </w:p>
    <w:p>
      <w:pPr>
        <w:pStyle w:val="ListParagraph"/>
        <w:numPr>
          <w:ilvl w:val="0"/>
          <w:numId w:val="2"/>
        </w:numPr>
        <w:spacing w:after="40" w:before="40"/>
      </w:pPr>
      <w:r>
        <w:rPr>
          <w:rFonts w:ascii="Arial" w:cs="Arial" w:eastAsia="Arial" w:hAnsi="Arial"/>
          <w:color w:val="0A0E12"/>
          <w:sz w:val="22"/>
          <w:szCs w:val="22"/>
        </w:rPr>
        <w:t xml:space="preserve">Day 1–14: Post-mortem completed; technical remediation implemented; policy updated if required.</w:t>
      </w:r>
    </w:p>
    <w:p>
      <w:pPr>
        <w:spacing w:after="60" w:before="60"/>
        <w:jc w:val="left"/>
      </w:pPr>
      <w:r>
        <w:rPr>
          <w:rFonts w:ascii="Arial" w:cs="Arial" w:eastAsia="Arial" w:hAnsi="Arial"/>
          <w:b w:val="false"/>
          <w:bCs w:val="false"/>
          <w:i w:val="false"/>
          <w:iCs w:val="false"/>
          <w:color w:val="0A0E12"/>
          <w:sz w:val="22"/>
          <w:szCs w:val="22"/>
        </w:rPr>
        <w:t xml:space="preserve">Breach register maintained in Firestore ‘breach_log’ collection; access restricted to DPO.</w:t>
      </w:r>
    </w:p>
    <w:p>
      <w:pPr>
        <w:pStyle w:val="Heading2"/>
        <w:spacing w:after="80" w:before="200"/>
      </w:pPr>
      <w:r>
        <w:rPr>
          <w:rFonts w:ascii="Arial" w:cs="Arial" w:eastAsia="Arial" w:hAnsi="Arial"/>
          <w:b/>
          <w:bCs/>
          <w:color w:val="0A0E12"/>
          <w:sz w:val="24"/>
          <w:szCs w:val="24"/>
        </w:rPr>
        <w:t xml:space="preserve">A8. Records of Processing Activities (RoPA)</w:t>
      </w:r>
    </w:p>
    <w:p>
      <w:pPr>
        <w:spacing w:after="60" w:before="60"/>
        <w:jc w:val="left"/>
      </w:pPr>
      <w:r>
        <w:rPr>
          <w:rFonts w:ascii="Arial" w:cs="Arial" w:eastAsia="Arial" w:hAnsi="Arial"/>
          <w:b w:val="false"/>
          <w:bCs w:val="false"/>
          <w:i w:val="false"/>
          <w:iCs w:val="false"/>
          <w:color w:val="0A0E12"/>
          <w:sz w:val="22"/>
          <w:szCs w:val="22"/>
        </w:rPr>
        <w:t xml:space="preserve">Fly GACA maintains a RoPA as required by PDPL. The RoPA is maintained in the Operations Drive (Confidential class) and includes: processing purpose, data categories, data subject categories, recipients, transfer details, retention periods, and security measures. RoPA updated quarterly and on any new processing activity.</w:t>
      </w:r>
    </w:p>
    <w:p>
      <w:pPr>
        <w:pStyle w:val="Heading2"/>
        <w:spacing w:after="80" w:before="200"/>
      </w:pPr>
      <w:r>
        <w:rPr>
          <w:rFonts w:ascii="Arial" w:cs="Arial" w:eastAsia="Arial" w:hAnsi="Arial"/>
          <w:b/>
          <w:bCs/>
          <w:color w:val="0A0E12"/>
          <w:sz w:val="24"/>
          <w:szCs w:val="24"/>
        </w:rPr>
        <w:t xml:space="preserve">A9. DPO Designation</w:t>
      </w:r>
    </w:p>
    <w:p>
      <w:pPr>
        <w:spacing w:after="60" w:before="60"/>
        <w:jc w:val="left"/>
      </w:pPr>
      <w:r>
        <w:rPr>
          <w:rFonts w:ascii="Arial" w:cs="Arial" w:eastAsia="Arial" w:hAnsi="Arial"/>
          <w:b w:val="false"/>
          <w:bCs w:val="false"/>
          <w:i w:val="false"/>
          <w:iCs w:val="false"/>
          <w:color w:val="0A0E12"/>
          <w:sz w:val="22"/>
          <w:szCs w:val="22"/>
        </w:rPr>
        <w:t xml:space="preserve">The founder (Adel Yahya A. Madkhali) serves as Data Protection Officer until Fly GACA reaches 50+ employees or processes data of 50,000+ data subjects per year, at which point a dedicated DPO will be appointed. DPO contact: i@flygaca.com or privacy@flygaca.com (alias).</w:t>
      </w:r>
    </w:p>
    <w:p>
      <w:r>
        <w:br w:type="page"/>
      </w:r>
    </w:p>
    <w:p>
      <w:pPr>
        <w:pStyle w:val="Heading1"/>
        <w:spacing w:after="120" w:before="280"/>
      </w:pPr>
      <w:r>
        <w:rPr>
          <w:rFonts w:ascii="Arial" w:cs="Arial" w:eastAsia="Arial" w:hAnsi="Arial"/>
          <w:b/>
          <w:bCs/>
          <w:color w:val="2D6E8A"/>
          <w:sz w:val="28"/>
          <w:szCs w:val="28"/>
        </w:rPr>
        <w:t xml:space="preserve">PART B: Data Protection Impact Assessment (DPIA)</w:t>
      </w:r>
    </w:p>
    <w:p>
      <w:pPr>
        <w:pBdr>
          <w:bottom w:val="single" w:color="2D6E8A" w:sz="3" w:space="1"/>
        </w:pBdr>
        <w:spacing w:after="80" w:before="0"/>
      </w:pPr>
      <w:r>
        <w:t xml:space="preserve"/>
      </w:r>
    </w:p>
    <w:p>
      <w:pPr>
        <w:spacing w:after="60" w:before="60"/>
        <w:jc w:val="left"/>
      </w:pPr>
      <w:r>
        <w:rPr>
          <w:rFonts w:ascii="Arial" w:cs="Arial" w:eastAsia="Arial" w:hAnsi="Arial"/>
          <w:b/>
          <w:bCs/>
          <w:i w:val="false"/>
          <w:iCs w:val="false"/>
          <w:color w:val="0A0E12"/>
          <w:sz w:val="22"/>
          <w:szCs w:val="22"/>
        </w:rPr>
        <w:t xml:space="preserve">Feature assessed: Captain Adel AI Instructor — conversational AI tutoring for GACA exam preparation.</w:t>
      </w:r>
    </w:p>
    <w:p>
      <w:pPr>
        <w:spacing w:after="60" w:before="60"/>
        <w:jc w:val="left"/>
      </w:pPr>
      <w:r>
        <w:rPr>
          <w:rFonts w:ascii="Arial" w:cs="Arial" w:eastAsia="Arial" w:hAnsi="Arial"/>
          <w:b w:val="false"/>
          <w:bCs w:val="false"/>
          <w:i w:val="false"/>
          <w:iCs w:val="false"/>
          <w:color w:val="0A0E12"/>
          <w:sz w:val="22"/>
          <w:szCs w:val="22"/>
        </w:rPr>
        <w:t xml:space="preserve">Assessment date: May 2026  |  Review trigger: Annual or on material architectural change.</w:t>
      </w:r>
    </w:p>
    <w:p>
      <w:r>
        <w:t xml:space="preserve"/>
      </w:r>
    </w:p>
    <w:p>
      <w:pPr>
        <w:pStyle w:val="Heading2"/>
        <w:spacing w:after="80" w:before="200"/>
      </w:pPr>
      <w:r>
        <w:rPr>
          <w:rFonts w:ascii="Arial" w:cs="Arial" w:eastAsia="Arial" w:hAnsi="Arial"/>
          <w:b/>
          <w:bCs/>
          <w:color w:val="0A0E12"/>
          <w:sz w:val="24"/>
          <w:szCs w:val="24"/>
        </w:rPr>
        <w:t xml:space="preserve">B1. Description of Processing</w:t>
      </w:r>
    </w:p>
    <w:p>
      <w:pPr>
        <w:spacing w:after="60" w:before="60"/>
        <w:jc w:val="left"/>
      </w:pPr>
      <w:r>
        <w:rPr>
          <w:rFonts w:ascii="Arial" w:cs="Arial" w:eastAsia="Arial" w:hAnsi="Arial"/>
          <w:b w:val="false"/>
          <w:bCs w:val="false"/>
          <w:i w:val="false"/>
          <w:iCs w:val="false"/>
          <w:color w:val="0A0E12"/>
          <w:sz w:val="22"/>
          <w:szCs w:val="22"/>
        </w:rPr>
        <w:t xml:space="preserve">When a user submits a question to Captain Adel, the platform: (1) authenticates the user via Firebase Auth, (2) retrieves the user’s conversation session, (3) performs BM25 hybrid retrieval against the 29,749-chunk GACA document index, (4) constructs a prompt with retrieved context + user query, (5) sends the prompt to Gemini Flash API (me-central2), (6) receives and stores the response in Firestore, and (7) displays the response with source citations. Query text and response are stored for 90 days to support quality evaluation and user session continuity.</w:t>
      </w:r>
    </w:p>
    <w:p>
      <w:pPr>
        <w:pStyle w:val="Heading2"/>
        <w:spacing w:after="80" w:before="200"/>
      </w:pPr>
      <w:r>
        <w:rPr>
          <w:rFonts w:ascii="Arial" w:cs="Arial" w:eastAsia="Arial" w:hAnsi="Arial"/>
          <w:b/>
          <w:bCs/>
          <w:color w:val="0A0E12"/>
          <w:sz w:val="24"/>
          <w:szCs w:val="24"/>
        </w:rPr>
        <w:t xml:space="preserve">B2. Necessity &amp; Proportionality</w:t>
      </w:r>
    </w:p>
    <w:p>
      <w:pPr>
        <w:spacing w:after="60" w:before="60"/>
        <w:jc w:val="left"/>
      </w:pPr>
      <w:r>
        <w:rPr>
          <w:rFonts w:ascii="Arial" w:cs="Arial" w:eastAsia="Arial" w:hAnsi="Arial"/>
          <w:b w:val="false"/>
          <w:bCs w:val="false"/>
          <w:i w:val="false"/>
          <w:iCs w:val="false"/>
          <w:color w:val="0A0E12"/>
          <w:sz w:val="22"/>
          <w:szCs w:val="22"/>
        </w:rPr>
        <w:t xml:space="preserve">Processing is necessary to deliver the core educational service. Data minimisation measures:</w:t>
      </w:r>
    </w:p>
    <w:p>
      <w:pPr>
        <w:pStyle w:val="ListParagraph"/>
        <w:numPr>
          <w:ilvl w:val="0"/>
          <w:numId w:val="2"/>
        </w:numPr>
        <w:spacing w:after="40" w:before="40"/>
      </w:pPr>
      <w:r>
        <w:rPr>
          <w:rFonts w:ascii="Arial" w:cs="Arial" w:eastAsia="Arial" w:hAnsi="Arial"/>
          <w:color w:val="0A0E12"/>
          <w:sz w:val="22"/>
          <w:szCs w:val="22"/>
        </w:rPr>
        <w:t xml:space="preserve">No full name or GACA licence number is required to use the AI tutor — email and password only.</w:t>
      </w:r>
    </w:p>
    <w:p>
      <w:pPr>
        <w:pStyle w:val="ListParagraph"/>
        <w:numPr>
          <w:ilvl w:val="0"/>
          <w:numId w:val="2"/>
        </w:numPr>
        <w:spacing w:after="40" w:before="40"/>
      </w:pPr>
      <w:r>
        <w:rPr>
          <w:rFonts w:ascii="Arial" w:cs="Arial" w:eastAsia="Arial" w:hAnsi="Arial"/>
          <w:color w:val="0A0E12"/>
          <w:sz w:val="22"/>
          <w:szCs w:val="22"/>
        </w:rPr>
        <w:t xml:space="preserve">Chat queries are not linked to any externally identifiable profile by design.</w:t>
      </w:r>
    </w:p>
    <w:p>
      <w:pPr>
        <w:pStyle w:val="ListParagraph"/>
        <w:numPr>
          <w:ilvl w:val="0"/>
          <w:numId w:val="2"/>
        </w:numPr>
        <w:spacing w:after="40" w:before="40"/>
      </w:pPr>
      <w:r>
        <w:rPr>
          <w:rFonts w:ascii="Arial" w:cs="Arial" w:eastAsia="Arial" w:hAnsi="Arial"/>
          <w:color w:val="0A0E12"/>
          <w:sz w:val="22"/>
          <w:szCs w:val="22"/>
        </w:rPr>
        <w:t xml:space="preserve">Response storage (90 days) is the minimum required for: session resume, user feedback loop, and monthly RAG eval cycles.</w:t>
      </w:r>
    </w:p>
    <w:p>
      <w:pPr>
        <w:pStyle w:val="ListParagraph"/>
        <w:numPr>
          <w:ilvl w:val="0"/>
          <w:numId w:val="2"/>
        </w:numPr>
        <w:spacing w:after="40" w:before="40"/>
      </w:pPr>
      <w:r>
        <w:rPr>
          <w:rFonts w:ascii="Arial" w:cs="Arial" w:eastAsia="Arial" w:hAnsi="Arial"/>
          <w:color w:val="0A0E12"/>
          <w:sz w:val="22"/>
          <w:szCs w:val="22"/>
        </w:rPr>
        <w:t xml:space="preserve">No chat data is used for advertising or shared with any third party.</w:t>
      </w:r>
    </w:p>
    <w:p>
      <w:pPr>
        <w:pStyle w:val="Heading2"/>
        <w:spacing w:after="80" w:before="200"/>
      </w:pPr>
      <w:r>
        <w:rPr>
          <w:rFonts w:ascii="Arial" w:cs="Arial" w:eastAsia="Arial" w:hAnsi="Arial"/>
          <w:b/>
          <w:bCs/>
          <w:color w:val="0A0E12"/>
          <w:sz w:val="24"/>
          <w:szCs w:val="24"/>
        </w:rPr>
        <w:t xml:space="preserve">B3. Risk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60"/>
        <w:gridCol w:w="2600"/>
      </w:tblGrid>
      <w:tr>
        <w:tc>
          <w:tcPr>
            <w:tcW w:type="dxa" w:w="28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26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Re-identification via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User inadvertently includes PII in chat (e.g., full name in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Medium — personal data processed without explicit consent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Prompt injection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Malicious prompt extracts system context or other user data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High — potential data exposure or misuse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AI hallucination 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Gemini generates incorrect regulatory information presented as fact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High — safety risk for pilots acting on incorrect info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Breach of stored chat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Unauthorised access to Firestore chat logs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A0E12"/>
                <w:sz w:val="20"/>
                <w:szCs w:val="20"/>
              </w:rPr>
              <w:t xml:space="preserve">Medium — chat queries exposed</w:t>
            </w:r>
          </w:p>
        </w:tc>
      </w:tr>
    </w:tbl>
    <w:p>
      <w:pPr>
        <w:pStyle w:val="Heading2"/>
        <w:spacing w:after="80" w:before="200"/>
      </w:pPr>
      <w:r>
        <w:rPr>
          <w:rFonts w:ascii="Arial" w:cs="Arial" w:eastAsia="Arial" w:hAnsi="Arial"/>
          <w:b/>
          <w:bCs/>
          <w:color w:val="0A0E12"/>
          <w:sz w:val="24"/>
          <w:szCs w:val="24"/>
        </w:rPr>
        <w:t xml:space="preserve">B4. Risk Mitigation</w:t>
      </w:r>
    </w:p>
    <w:p>
      <w:pPr>
        <w:pStyle w:val="ListParagraph"/>
        <w:numPr>
          <w:ilvl w:val="0"/>
          <w:numId w:val="2"/>
        </w:numPr>
        <w:spacing w:after="40" w:before="40"/>
      </w:pPr>
      <w:r>
        <w:rPr>
          <w:rFonts w:ascii="Arial" w:cs="Arial" w:eastAsia="Arial" w:hAnsi="Arial"/>
          <w:color w:val="0A0E12"/>
          <w:sz w:val="22"/>
          <w:szCs w:val="22"/>
        </w:rPr>
        <w:t xml:space="preserve">Re-identification: Privacy notice explicitly advises users not to include personal identifiers in chat. A future build adds a PII scrubber (regex + model-based) before storing queries. No query is indexed by user-identifiable metadata.</w:t>
      </w:r>
    </w:p>
    <w:p>
      <w:pPr>
        <w:pStyle w:val="ListParagraph"/>
        <w:numPr>
          <w:ilvl w:val="0"/>
          <w:numId w:val="2"/>
        </w:numPr>
        <w:spacing w:after="40" w:before="40"/>
      </w:pPr>
      <w:r>
        <w:rPr>
          <w:rFonts w:ascii="Arial" w:cs="Arial" w:eastAsia="Arial" w:hAnsi="Arial"/>
          <w:color w:val="0A0E12"/>
          <w:sz w:val="22"/>
          <w:szCs w:val="22"/>
        </w:rPr>
        <w:t xml:space="preserve">Prompt injection: System prompt is separated from user query with clear delimiters. Gemini system instructions are hardened; jailbreak attempts are logged and flagged. Penetration test to include prompt injection scenarios before Series A.</w:t>
      </w:r>
    </w:p>
    <w:p>
      <w:pPr>
        <w:pStyle w:val="ListParagraph"/>
        <w:numPr>
          <w:ilvl w:val="0"/>
          <w:numId w:val="2"/>
        </w:numPr>
        <w:spacing w:after="40" w:before="40"/>
      </w:pPr>
      <w:r>
        <w:rPr>
          <w:rFonts w:ascii="Arial" w:cs="Arial" w:eastAsia="Arial" w:hAnsi="Arial"/>
          <w:color w:val="0A0E12"/>
          <w:sz w:val="22"/>
          <w:szCs w:val="22"/>
        </w:rPr>
        <w:t xml:space="preserve">Hallucination: All AI responses include mandatory source citation linked to the originating GACA document chunk. Confidence threshold filter applied; low-confidence responses trigger a ‘consult official source’ disclaimer. Monthly eval against 200-question golden set targets 7/7 pass rate by Year 1.</w:t>
      </w:r>
    </w:p>
    <w:p>
      <w:pPr>
        <w:pStyle w:val="ListParagraph"/>
        <w:numPr>
          <w:ilvl w:val="0"/>
          <w:numId w:val="2"/>
        </w:numPr>
        <w:spacing w:after="40" w:before="40"/>
      </w:pPr>
      <w:r>
        <w:rPr>
          <w:rFonts w:ascii="Arial" w:cs="Arial" w:eastAsia="Arial" w:hAnsi="Arial"/>
          <w:color w:val="0A0E12"/>
          <w:sz w:val="22"/>
          <w:szCs w:val="22"/>
        </w:rPr>
        <w:t xml:space="preserve">Data breach: Firestore security rules restrict chat read access to authenticated user’s own document. Admin access via IAP only. Full ISP controls apply (see ISP Section 4–10).</w:t>
      </w:r>
    </w:p>
    <w:p>
      <w:pPr>
        <w:pStyle w:val="Heading2"/>
        <w:spacing w:after="80" w:before="200"/>
      </w:pPr>
      <w:r>
        <w:rPr>
          <w:rFonts w:ascii="Arial" w:cs="Arial" w:eastAsia="Arial" w:hAnsi="Arial"/>
          <w:b/>
          <w:bCs/>
          <w:color w:val="0A0E12"/>
          <w:sz w:val="24"/>
          <w:szCs w:val="24"/>
        </w:rPr>
        <w:t xml:space="preserve">B5. Residual Risks &amp; Sign-off</w:t>
      </w:r>
    </w:p>
    <w:p>
      <w:pPr>
        <w:spacing w:after="60" w:before="60"/>
        <w:jc w:val="left"/>
      </w:pPr>
      <w:r>
        <w:rPr>
          <w:rFonts w:ascii="Arial" w:cs="Arial" w:eastAsia="Arial" w:hAnsi="Arial"/>
          <w:b w:val="false"/>
          <w:bCs w:val="false"/>
          <w:i w:val="false"/>
          <w:iCs w:val="false"/>
          <w:color w:val="0A0E12"/>
          <w:sz w:val="22"/>
          <w:szCs w:val="22"/>
        </w:rPr>
        <w:t xml:space="preserve">After applying mitigation measures, residual risk is assessed as Low for re-identification, Low for prompt injection, Low-Medium for hallucination liability (mitigated by citation and disclaimer but not eliminated), and Low for data breach. The DPIA concludes that processing is justified by legitimate educational purpose and that residual risks are proportionate.</w:t>
      </w:r>
    </w:p>
    <w:p>
      <w:r>
        <w:t xml:space="preserve"/>
      </w:r>
    </w:p>
    <w:p>
      <w:pPr>
        <w:spacing w:after="60" w:before="60"/>
        <w:jc w:val="left"/>
      </w:pPr>
      <w:r>
        <w:rPr>
          <w:rFonts w:ascii="Arial" w:cs="Arial" w:eastAsia="Arial" w:hAnsi="Arial"/>
          <w:b/>
          <w:bCs/>
          <w:i w:val="false"/>
          <w:iCs w:val="false"/>
          <w:color w:val="0A0E12"/>
          <w:sz w:val="22"/>
          <w:szCs w:val="22"/>
        </w:rPr>
        <w:t xml:space="preserve">Signed (DPO): Adel Yahya A. Madkhali  |  Date: 1 May 2026</w:t>
      </w:r>
    </w:p>
    <w:p>
      <w:pPr>
        <w:pStyle w:val="Heading2"/>
        <w:spacing w:after="80" w:before="200"/>
      </w:pPr>
      <w:r>
        <w:rPr>
          <w:rFonts w:ascii="Arial" w:cs="Arial" w:eastAsia="Arial" w:hAnsi="Arial"/>
          <w:b/>
          <w:bCs/>
          <w:color w:val="0A0E12"/>
          <w:sz w:val="24"/>
          <w:szCs w:val="24"/>
        </w:rPr>
        <w:t xml:space="preserve">B6. Review Schedule</w:t>
      </w:r>
    </w:p>
    <w:p>
      <w:pPr>
        <w:pStyle w:val="ListParagraph"/>
        <w:numPr>
          <w:ilvl w:val="0"/>
          <w:numId w:val="2"/>
        </w:numPr>
        <w:spacing w:after="40" w:before="40"/>
      </w:pPr>
      <w:r>
        <w:rPr>
          <w:rFonts w:ascii="Arial" w:cs="Arial" w:eastAsia="Arial" w:hAnsi="Arial"/>
          <w:color w:val="0A0E12"/>
          <w:sz w:val="22"/>
          <w:szCs w:val="22"/>
        </w:rPr>
        <w:t xml:space="preserve">Annual review: May 2027.</w:t>
      </w:r>
    </w:p>
    <w:p>
      <w:pPr>
        <w:pStyle w:val="ListParagraph"/>
        <w:numPr>
          <w:ilvl w:val="0"/>
          <w:numId w:val="2"/>
        </w:numPr>
        <w:spacing w:after="40" w:before="40"/>
      </w:pPr>
      <w:r>
        <w:rPr>
          <w:rFonts w:ascii="Arial" w:cs="Arial" w:eastAsia="Arial" w:hAnsi="Arial"/>
          <w:color w:val="0A0E12"/>
          <w:sz w:val="22"/>
          <w:szCs w:val="22"/>
        </w:rPr>
        <w:t xml:space="preserve">Triggered immediately upon: new data category collected, new AI model integrated, new jurisdiction expansion, or any P1 security incident.</w:t>
      </w:r>
    </w:p>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iCs/>
          <w:color w:val="0A0E12"/>
          <w:sz w:val="22"/>
          <w:szCs w:val="22"/>
        </w:rPr>
        <w:t xml:space="preserve">PDPL queries: privacy@flygaca.com  |  SDAIA: sdaia.gov.sa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2" w:space="4"/>
      </w:pBdr>
      <w:spacing w:before="60"/>
      <w:jc w:val="center"/>
    </w:pPr>
    <w:r>
      <w:rPr>
        <w:rFonts w:ascii="Arial" w:cs="Arial" w:eastAsia="Arial" w:hAnsi="Arial"/>
        <w:color w:val="777777"/>
        <w:sz w:val="16"/>
        <w:szCs w:val="16"/>
      </w:rPr>
      <w:t xml:space="preserve">Fly GACA  |  PDPL Compliance &amp; DPIA  |  v1.0  |  May 2026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2026-05-05T03:04:53.319Z</dcterms:created>
  <dcterms:modified xsi:type="dcterms:W3CDTF">2026-05-05T03:04:53.319Z</dcterms:modified>
</cp:coreProperties>
</file>

<file path=docProps/custom.xml><?xml version="1.0" encoding="utf-8"?>
<Properties xmlns="http://schemas.openxmlformats.org/officeDocument/2006/custom-properties" xmlns:vt="http://schemas.openxmlformats.org/officeDocument/2006/docPropsVTypes"/>
</file>