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0" w:before="1400"/>
      </w:pPr>
      <w:r>
        <w:rPr>
          <w:rFonts w:ascii="Inter Tight" w:cs="Inter Tight" w:eastAsia="Inter Tight" w:hAnsi="Inter Tight"/>
          <w:b/>
          <w:bCs/>
          <w:color w:val="C8A04A"/>
          <w:spacing w:val="30"/>
          <w:sz w:val="18"/>
          <w:szCs w:val="18"/>
        </w:rPr>
        <w:t xml:space="preserve">FLY GACA  ·  BUILD &amp; LAUNCH PLAN</w:t>
      </w:r>
    </w:p>
    <w:p>
      <w:pPr>
        <w:spacing w:after="0" w:before="220"/>
      </w:pPr>
      <w:r>
        <w:rPr>
          <w:rFonts w:ascii="Inter Tight" w:cs="Inter Tight" w:eastAsia="Inter Tight" w:hAnsi="Inter Tight"/>
          <w:b/>
          <w:bCs/>
          <w:color w:val="0A0E12"/>
          <w:sz w:val="74"/>
          <w:szCs w:val="74"/>
        </w:rPr>
        <w:t xml:space="preserve">Fly </w:t>
      </w:r>
      <w:r>
        <w:rPr>
          <w:rFonts w:ascii="Inter Tight" w:cs="Inter Tight" w:eastAsia="Inter Tight" w:hAnsi="Inter Tight"/>
          <w:b/>
          <w:bCs/>
          <w:color w:val="2D6E8A"/>
          <w:sz w:val="74"/>
          <w:szCs w:val="74"/>
        </w:rPr>
        <w:t xml:space="preserve">GACA</w:t>
      </w:r>
    </w:p>
    <w:p>
      <w:pPr>
        <w:spacing w:after="240" w:before="0"/>
      </w:pPr>
      <w:r>
        <w:rPr>
          <w:rFonts w:ascii="Inter Tight" w:cs="Inter Tight" w:eastAsia="Inter Tight" w:hAnsi="Inter Tight"/>
          <w:color w:val="234E60"/>
          <w:sz w:val="52"/>
          <w:szCs w:val="52"/>
        </w:rPr>
        <w:t xml:space="preserve">Master Plan</w:t>
      </w:r>
    </w:p>
    <w:p>
      <w:pPr>
        <w:spacing w:after="60" w:line="288"/>
      </w:pPr>
      <w:r>
        <w:rPr>
          <w:rFonts w:ascii="Inter Tight" w:cs="Inter Tight" w:eastAsia="Inter Tight" w:hAnsi="Inter Tight"/>
          <w:color w:val="1C2630"/>
          <w:sz w:val="26"/>
          <w:szCs w:val="26"/>
        </w:rPr>
        <w:t xml:space="preserve">Building Saudi aviation’s regulatory library and AI flight instructor — product and business, from scratch.</w:t>
      </w:r>
    </w:p>
    <w:p>
      <w:pPr>
        <w:spacing w:after="260"/>
      </w:pPr>
      <w:r>
        <w:rPr>
          <w:rFonts w:ascii="Inter Tight" w:cs="Inter Tight" w:eastAsia="Inter Tight" w:hAnsi="Inter Tight"/>
          <w:i/>
          <w:iCs/>
          <w:color w:val="2D6E8A"/>
          <w:sz w:val="24"/>
          <w:szCs w:val="24"/>
        </w:rPr>
        <w:t xml:space="preserve">“The whole of Saudi aviation, in one cockpit.”</w:t>
      </w:r>
    </w:p>
    <w:p>
      <w:pPr>
        <w:pBdr>
          <w:bottom w:val="single" w:color="2D6E8A" w:sz="8" w:space="2"/>
        </w:pBdr>
        <w:spacing w:after="180" w:before="40"/>
      </w:pPr>
      <w:r>
        <w:t xml:space="preserve"/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Prepared for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Captain Adel Al-Subaie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Version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1.0   ·   May 2026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Build mode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Solo founder · no fixed deadline · phased delivery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Primary domain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flygaca.com   ·   server 72.62.20.20</w:t>
      </w:r>
    </w:p>
    <w:p>
      <w:pPr>
        <w:pBdr>
          <w:left w:val="single" w:color="C8A04A" w:sz="18" w:space="8"/>
        </w:pBdr>
        <w:shd w:fill="F1ECE0" w:val="clear"/>
        <w:spacing w:after="0" w:before="360"/>
        <w:ind w:left="150" w:right="150"/>
      </w:pPr>
      <w:r>
        <w:rPr>
          <w:rFonts w:ascii="Inter Tight" w:cs="Inter Tight" w:eastAsia="Inter Tight" w:hAnsi="Inter Tight"/>
          <w:color w:val="1C2630"/>
          <w:sz w:val="19"/>
          <w:szCs w:val="19"/>
        </w:rPr>
        <w:t xml:space="preserve">Companion files:  this document is the human-readable master plan. Two AI briefings package the same plan as ready-to-use context — one XML-tagged for Claude, one Markdown (AGENTS.md) for Google Antigravity.</w:t>
      </w:r>
    </w:p>
    <w:p>
      <w:r>
        <w:br w:type="page"/>
      </w:r>
    </w:p>
    <w:p>
      <w:pPr>
        <w:spacing w:after="160"/>
      </w:pPr>
      <w:r>
        <w:rPr>
          <w:rFonts w:ascii="Inter Tight" w:cs="Inter Tight" w:eastAsia="Inter Tight" w:hAnsi="Inter Tight"/>
          <w:b/>
          <w:bCs/>
          <w:color w:val="2D6E8A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OVERVIEW</w:t>
      </w:r>
    </w:p>
    <w:p>
      <w:pPr>
        <w:pStyle w:val="Heading1"/>
      </w:pPr>
      <w:r>
        <w:t xml:space="preserve">1 · Executive summary</w:t>
      </w:r>
    </w:p>
    <w:p>
      <w:pPr>
        <w:spacing w:after="140" w:line="264"/>
      </w:pPr>
      <w:r>
        <w:t xml:space="preserve">Fly GACA is an educational digital aviation platform and open regulatory library for Saudi Arabian civil aviation — built for pilots, operators, instructors, and cadets in the Kingdom. This plan covers building it from scratch, product and business together, as a solo effort with no fixed deadline.</w:t>
      </w:r>
    </w:p>
    <w:p>
      <w:pPr>
        <w:spacing w:after="140" w:line="264"/>
      </w:pPr>
      <w:r>
        <w:t xml:space="preserve">The strategy is a single funnel. A free, fast, genuinely useful GACAR library earns reach and trust. Captain Adel — an AI flight instructor that answers regulatory questions with cited sources — is the paid premium layer. Flight schools and operators buying seats for their cadets are the revenue engine.</w:t>
      </w:r>
    </w:p>
    <w:p>
      <w:pPr>
        <w:spacing w:after="140" w:line="264"/>
      </w:pPr>
      <w:r>
        <w:t xml:space="preserve">The build is sequenced into seven phases, 0 through 6. Each phase ships something usable on its own, and risk rises gradually: the public library launches first with no login and no AI; personal data is not touched until compliance is ready for it; monetization arrives only once the assistant is proven good.</w:t>
      </w:r>
    </w:p>
    <w:p>
      <w:pPr>
        <w:spacing w:after="140" w:line="264"/>
      </w:pPr>
      <w:r>
        <w:t xml:space="preserve">The recommended infrastructure is managed-first — Firebase, with the database in the me-central2 (Dammam) region for data sovereignty — with the existing VPS at 72.62.20.20 repurposed as the document-processing pipeline rather than the production front door.</w:t>
      </w:r>
    </w:p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Phase 0 gate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Three questions must be answered before heavy building begins: whether the GACAR documents can be legally rehosted, the trademark exposure of the “GACA” name, and which domain is canonical.</w:t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DIRECTION</w:t>
      </w:r>
    </w:p>
    <w:p>
      <w:pPr>
        <w:pStyle w:val="Heading1"/>
      </w:pPr>
      <w:r>
        <w:t xml:space="preserve">2 · Strategic frame</w:t>
      </w:r>
    </w:p>
    <w:p>
      <w:pPr>
        <w:pStyle w:val="Heading2"/>
      </w:pPr>
      <w:r>
        <w:t xml:space="preserve">The wedge</w:t>
      </w:r>
    </w:p>
    <w:p>
      <w:pPr>
        <w:spacing w:after="140" w:line="264"/>
      </w:pPr>
      <w:r>
        <w:t xml:space="preserve">Saudi pilots juggle scattered PDFs, paper logbooks, calculators, and a dozen reference sites just to study and stay current. Fly GACA collapses that into one cockpit. The free GACAR library is the wedge — it is the lowest-risk, highest-trust thing to build, and it is useful on its own. Trust earned there converts into paid use of Captain Adel and the pilot tools; flight-school and operator accounts are where the revenue concentrates.</w:t>
      </w:r>
    </w:p>
    <w:p>
      <w:pPr>
        <w:pStyle w:val="Heading2"/>
      </w:pPr>
      <w:r>
        <w:t xml:space="preserve">Captain Adel — one service, two front doors</w:t>
      </w:r>
    </w:p>
    <w:p>
      <w:pPr>
        <w:spacing w:after="14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Captain Adel is built </w:t>
      </w: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once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, as a single assistant service. It is served inside flygaca.com behind the paywall, and reachable through captadel.com as a marketing front door. One brain, two doors — not two codebases. Whether Captain Adel is ultimately a sub-brand of Fly GACA or a standalone product is deliberately deferred until the assistant works; the build does not depend on that decision.</w:t>
      </w:r>
    </w:p>
    <w:p>
      <w:pPr>
        <w:pStyle w:val="Heading2"/>
      </w:pPr>
      <w:r>
        <w:t xml:space="preserve">Scope discipline</w:t>
      </w:r>
    </w:p>
    <w:p>
      <w:pPr>
        <w:spacing w:after="140" w:line="264"/>
      </w:pPr>
      <w:r>
        <w:t xml:space="preserve">The project brief describes a broad feature set. For a solo build, the version that goes live first is the library and search — nothing else. The assistant, accounts, tools, payments, and native apps are all post-launch, sequenced in the phases below. Resisting scope creep is the single most important habit for shipping this solo.</w:t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RESOLVE FIRST</w:t>
      </w:r>
    </w:p>
    <w:p>
      <w:pPr>
        <w:pStyle w:val="Heading1"/>
      </w:pPr>
      <w:r>
        <w:t xml:space="preserve">3 · Three risks to clear before building</w:t>
      </w:r>
    </w:p>
    <w:p>
      <w:pPr>
        <w:spacing w:after="14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These shape Phase 0. They are flagged from an engineering and product view — </w:t>
      </w: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not legal advice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; a Saudi IP lawyer should confirm items 1 and 2.</w:t>
      </w:r>
    </w:p>
    <w:p>
      <w:pPr>
        <w:pStyle w:val="Heading2"/>
      </w:pPr>
      <w:r>
        <w:t xml:space="preserve">3.1  Redistribution rights for the documents</w:t>
      </w:r>
    </w:p>
    <w:p>
      <w:pPr>
        <w:spacing w:after="140" w:line="264"/>
      </w:pPr>
      <w:r>
        <w:t xml:space="preserve">This is the genuine launch-blocker. The platform’s core is hosting GACA-published documents — the GACAR parts, the AIPs, and advisory circulars. Official government documents are, in many jurisdictions and under Saudi copyright practice, outside copyright protection — but confirm the specific Saudi position, or obtain GACA’s permission, before rehosting the corpus.</w:t>
      </w:r>
    </w:p>
    <w:p>
      <w:pPr>
        <w:spacing w:after="140" w:line="264"/>
      </w:pPr>
      <w:r>
        <w:t xml:space="preserve">Interim safe posture: source every document, show its official version and date, and link to GACA’s own copy. If clearance is not yet in hand, the library can launch as a deep-linking index and rehost once confirmed.</w:t>
      </w:r>
    </w:p>
    <w:p>
      <w:pPr>
        <w:pStyle w:val="Heading2"/>
      </w:pPr>
      <w:r>
        <w:t xml:space="preserve">3.2  The name leans on “GACA”</w:t>
      </w:r>
    </w:p>
    <w:p>
      <w:pPr>
        <w:spacing w:after="140" w:line="264"/>
      </w:pPr>
      <w:r>
        <w:t xml:space="preserve">“Fly GACA” borrows the identity of the actual government authority. Even with disclaimers, this carries trademark and passing-off exposure and can confuse users into assuming official status. Run a trademark check, and carry an unmissable “not affiliated with the General Authority of Civil Aviation” disclaimer on every page and in the assistant’s answers.</w:t>
      </w:r>
    </w:p>
    <w:p>
      <w:pPr>
        <w:pStyle w:val="Heading2"/>
      </w:pPr>
      <w:r>
        <w:t xml:space="preserve">3.3  Domain canonicalization</w:t>
      </w:r>
    </w:p>
    <w:p>
      <w:pPr>
        <w:spacing w:after="140" w:line="264"/>
      </w:pPr>
      <w:r>
        <w:t xml:space="preserve">flygaca.com is owned and live on 72.62.20.20; the brand sheet repeatedly shows flygaca.sa. Choose one canonical domain now — favicon copy, Open Graph cards, email addresses, and business cards all depend on it. The plan assumes flygaca.com unless changed.</w:t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KNOWLEDGE BASE</w:t>
      </w:r>
    </w:p>
    <w:p>
      <w:pPr>
        <w:pStyle w:val="Heading1"/>
      </w:pPr>
      <w:r>
        <w:t xml:space="preserve">4 · Captain Adel corpus policy</w:t>
      </w:r>
    </w:p>
    <w:p>
      <w:pPr>
        <w:spacing w:after="140" w:line="264"/>
      </w:pPr>
      <w:r>
        <w:t xml:space="preserve">What Captain Adel is allowed to learn from is a legal and safety decision, not just a technical one. The corpus splits three ways.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</w:tr>
      <w:tr>
        <w:tc>
          <w:tcPr>
            <w:tcW w:type="dxa" w:w="24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Host — safe core</w:t>
            </w:r>
          </w:p>
        </w:tc>
        <w:tc>
          <w:tcPr>
            <w:tcW w:type="dxa" w:w="6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GACAR parts, Saudi AIPs, and GACA advisory circulars / guidance. All GACA-published; one legal clearance covers them. This is the foundation.</w:t>
            </w:r>
          </w:p>
        </w:tc>
      </w:tr>
      <w:tr>
        <w:tc>
          <w:tcPr>
            <w:tcW w:type="dxa" w:w="24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DF4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Host — original</w:t>
            </w:r>
          </w:p>
        </w:tc>
        <w:tc>
          <w:tcPr>
            <w:tcW w:type="dxa" w:w="6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Fly GACA’s own training and exam material, authored from the Captain Adel Curriculum Map. Legal because it is yours, and a real differentiator. Scraped third-party question banks are not permitted.</w:t>
            </w:r>
          </w:p>
        </w:tc>
      </w:tr>
      <w:tr>
        <w:tc>
          <w:tcPr>
            <w:tcW w:type="dxa" w:w="24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3EAE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8A4A2D"/>
                <w:sz w:val="19"/>
                <w:szCs w:val="19"/>
              </w:rPr>
              <w:t xml:space="preserve">Do not host — cite &amp; refer</w:t>
            </w:r>
          </w:p>
        </w:tc>
        <w:tc>
          <w:tcPr>
            <w:tcW w:type="dxa" w:w="6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ICAO Annexes / SARPs (ICAO copyright; sold commercially — and their substance is already reflected in GACAR). Aircraft manuals, POH / AFM (manufacturer copyright, and aircraft-specific data is a safety hazard if quoted generically). Captain Adel cites and points to the official source; it never reproduces or substitutes for these.</w:t>
            </w:r>
          </w:p>
        </w:tc>
      </w:tr>
    </w:tbl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AIP freshness rule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AIPs change every 28-day AIRAC cycle. Every AIP-sourced answer must carry an effective date and the line “not for operational use — verify the current AIP and NOTAMs.”</w:t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INFRASTRUCTURE</w:t>
      </w:r>
    </w:p>
    <w:p>
      <w:pPr>
        <w:pStyle w:val="Heading1"/>
      </w:pPr>
      <w:r>
        <w:t xml:space="preserve">5 · Hosting &amp; infrastructure decision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Recommendation: managed-first.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Run the platform on Firebase, with the existing VPS repurposed — not as the production front door.</w:t>
      </w:r>
    </w:p>
    <w:p>
      <w:pPr>
        <w:spacing w:after="140" w:line="264"/>
      </w:pPr>
      <w:r>
        <w:t xml:space="preserve">A solo founder’s scarcest resource is time. Self-hosting authentication, a database, and security for a platform that will hold pilots’ personal data (PDPL) is a large, permanent, security-sensitive burden. Firebase provides App Check, Authentication, security rules, and a Firestore database in the me-central2 (Dammam) region out of the box — exactly the “harden by default” and data-sovereignty posture the project requires.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Role of the VPS (72.62.20.20).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Not wasted. It is the right home for the Python document-ingestion and RAG-indexing pipeline — a batch job that does not need 24/7 uptime guarantees — and for running the assistant eval harness and staging builds. It is a compute box, not the live site.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To verify.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Which region the VPS sits in, and the data-residency of the AI inference (Gemini / Vertex). The public regulatory corpus is low-risk; the question only sharpens if personal data is ever sent to the model. When the front door moves to Firebase Hosting, flygaca.com’s DNS migrates off the single A-record to 72.62.20.20.</w:t>
      </w:r>
    </w:p>
    <w:p>
      <w:r>
        <w:br w:type="page"/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DELIVERY</w:t>
      </w:r>
    </w:p>
    <w:p>
      <w:pPr>
        <w:pStyle w:val="Heading1"/>
      </w:pPr>
      <w:r>
        <w:t xml:space="preserve">6 · The build plan — seven phases</w:t>
      </w:r>
    </w:p>
    <w:p>
      <w:pPr>
        <w:spacing w:after="140" w:line="264"/>
      </w:pPr>
      <w:r>
        <w:t xml:space="preserve">Each phase ends with something usable. Phases are sequential by dependency, not by date — there is no deadline; the order is what matters.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3050"/>
        <w:gridCol w:w="4960"/>
      </w:tblGrid>
      <w:tr>
        <w:trPr>
          <w:tblHeader/>
        </w:trPr>
        <w:tc>
          <w:tcPr>
            <w:tcW w:type="dxa" w:w="13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What it ships</w:t>
            </w:r>
          </w:p>
        </w:tc>
      </w:tr>
      <w:tr>
        <w:tc>
          <w:tcPr>
            <w:tcW w:type="dxa" w:w="13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0</w:t>
            </w:r>
          </w:p>
        </w:tc>
        <w:tc>
          <w:tcPr>
            <w:tcW w:type="dxa" w:w="30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Foundations</w:t>
            </w:r>
          </w:p>
        </w:tc>
        <w:tc>
          <w:tcPr>
            <w:tcW w:type="dxa" w:w="4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Cleared blockers, registered entity, empty repo + Firebase project</w:t>
            </w:r>
          </w:p>
        </w:tc>
      </w:tr>
      <w:tr>
        <w:tc>
          <w:tcPr>
            <w:tcW w:type="dxa" w:w="13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1</w:t>
            </w:r>
          </w:p>
        </w:tc>
        <w:tc>
          <w:tcPr>
            <w:tcW w:type="dxa" w:w="30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The library goes live</w:t>
            </w:r>
          </w:p>
        </w:tc>
        <w:tc>
          <w:tcPr>
            <w:tcW w:type="dxa" w:w="4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flygaca.com — browsable, searchable GACAR library; no login, no AI</w:t>
            </w:r>
          </w:p>
        </w:tc>
      </w:tr>
      <w:tr>
        <w:tc>
          <w:tcPr>
            <w:tcW w:type="dxa" w:w="13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2</w:t>
            </w:r>
          </w:p>
        </w:tc>
        <w:tc>
          <w:tcPr>
            <w:tcW w:type="dxa" w:w="30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Captain Adel answers</w:t>
            </w:r>
          </w:p>
        </w:tc>
        <w:tc>
          <w:tcPr>
            <w:tcW w:type="dxa" w:w="4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The RAG assistant with cited answers; free / beta</w:t>
            </w:r>
          </w:p>
        </w:tc>
      </w:tr>
      <w:tr>
        <w:tc>
          <w:tcPr>
            <w:tcW w:type="dxa" w:w="13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3</w:t>
            </w:r>
          </w:p>
        </w:tc>
        <w:tc>
          <w:tcPr>
            <w:tcW w:type="dxa" w:w="30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Pilot accounts &amp; tools</w:t>
            </w:r>
          </w:p>
        </w:tc>
        <w:tc>
          <w:tcPr>
            <w:tcW w:type="dxa" w:w="4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Accounts, digital logbook, currency tracking, core calculators</w:t>
            </w:r>
          </w:p>
        </w:tc>
      </w:tr>
      <w:tr>
        <w:tc>
          <w:tcPr>
            <w:tcW w:type="dxa" w:w="13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4</w:t>
            </w:r>
          </w:p>
        </w:tc>
        <w:tc>
          <w:tcPr>
            <w:tcW w:type="dxa" w:w="30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Arabic, offline &amp; polish</w:t>
            </w:r>
          </w:p>
        </w:tc>
        <w:tc>
          <w:tcPr>
            <w:tcW w:type="dxa" w:w="4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Full bilingual RTL PWA, offline library, performance</w:t>
            </w:r>
          </w:p>
        </w:tc>
      </w:tr>
      <w:tr>
        <w:tc>
          <w:tcPr>
            <w:tcW w:type="dxa" w:w="13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5</w:t>
            </w:r>
          </w:p>
        </w:tc>
        <w:tc>
          <w:tcPr>
            <w:tcW w:type="dxa" w:w="30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Money &amp; flight schools</w:t>
            </w:r>
          </w:p>
        </w:tc>
        <w:tc>
          <w:tcPr>
            <w:tcW w:type="dxa" w:w="4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Subscriptions, e-invoicing, flight-school / operator accounts</w:t>
            </w:r>
          </w:p>
        </w:tc>
      </w:tr>
      <w:tr>
        <w:tc>
          <w:tcPr>
            <w:tcW w:type="dxa" w:w="13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6</w:t>
            </w:r>
          </w:p>
        </w:tc>
        <w:tc>
          <w:tcPr>
            <w:tcW w:type="dxa" w:w="30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Reach</w:t>
            </w:r>
          </w:p>
        </w:tc>
        <w:tc>
          <w:tcPr>
            <w:tcW w:type="dxa" w:w="49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Native app wrapper, public API</w:t>
            </w:r>
          </w:p>
        </w:tc>
      </w:tr>
    </w:tbl>
    <w:p>
      <w:pPr>
        <w:pStyle w:val="Heading2"/>
        <w:spacing w:before="320"/>
      </w:pPr>
      <w:r>
        <w:t xml:space="preserve">Phase 0 — Foundations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Goal.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Clear the blockers and stand up the skeleton. No public output.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Key work.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Resolve redistribution rights for GACAR, AIPs, and advisory circulars (the launch-blocker).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Pick the canonical domain (flygaca.com) and lock the legal / brand name.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Register the legal entity — a Saudi establishment or LLC via the Saudi Business Center; consider Monshaat SME registration and the NTDP program. Open a business bank account.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Create the GitHub repository (github.com/ay2m/flygaca) with the agreed folder structure.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Create the Firebase project in me-central2 (Dammam). Set up the VPS as the pipeline / staging box.</w:t>
      </w:r>
    </w:p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Done when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The copyright question has an answer, the entity is registered, and the empty repo and Firebase project exist.</w:t>
      </w:r>
    </w:p>
    <w:p>
      <w:pPr>
        <w:pStyle w:val="Heading2"/>
        <w:spacing w:before="320"/>
      </w:pPr>
      <w:r>
        <w:t xml:space="preserve">Phase 1 — The library goes live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Goal.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A fast, trustworthy public GACAR library at flygaca.com. No login, no AI — a pure trust-builder.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Key work.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Build the static PWA shell on the Falcon brand (Falcon Night dark theme, the teal / sage palette, Inter Tight).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Curate and text-extract the GACAR corpus; build the library index and a clean document reader.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Build client-side search over a prebuilt index (the corpus is small enough for this).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Apply brand assets: favicon, app icon, Open Graph card, the approved lockups.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Ship the legal pages: educational disclaimer, “not affiliated with GACA” notice, terms, attributions.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Deploy to Firebase Hosting; point flygaca.com DNS.</w:t>
      </w:r>
    </w:p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Done when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A visitor can search “night currency,” open Part 91, read it on a phone — and every page makes the unofficial, educational status obvious.</w:t>
      </w:r>
    </w:p>
    <w:p>
      <w:pPr>
        <w:pStyle w:val="Heading2"/>
        <w:spacing w:before="320"/>
      </w:pPr>
      <w:r>
        <w:t xml:space="preserve">Phase 2 — Captain Adel answers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Goal.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Plain-language Q&amp;A grounded in the corpus, with cited passages and source links.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Key work.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Build the ingestion pipeline on the VPS (Python 3.11 — chunk and embed the corpus).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Choose and stand up a vector store; build the RAG Cloud Function (retrieve → prompt → Gemini → answer + citations).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Build the chat UI (English and Arabic) at chat.html, with captadel.com as a front door.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Write Captain Adel’s system prompt: conservative, always cites, always defers to GACA, refuses to substitute for a POH / AFM.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Build the eval harness with question sets so retrieval quality is measured, not guessed.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Enforce App Check and per-user rate limits so the AI endpoint cannot be abused or run up costs.</w:t>
      </w:r>
    </w:p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Done when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The eval set passes its quality bar, every answer carries citations, and no answer ever asserts official status. Launch free / beta — paywall comes in Phase 5, once quality is proven.</w:t>
      </w:r>
    </w:p>
    <w:p>
      <w:pPr>
        <w:pStyle w:val="Heading2"/>
        <w:spacing w:before="320"/>
      </w:pPr>
      <w:r>
        <w:t xml:space="preserve">Phase 3 — Pilot accounts &amp; tools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Goal.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Personalised pilot features — the first time the platform holds personal data.</w:t>
      </w:r>
    </w:p>
    <w:p>
      <w:pPr>
        <w:spacing w:after="140" w:line="264"/>
      </w:pPr>
      <w:r>
        <w:rPr>
          <w:rFonts w:ascii="Inter Tight" w:cs="Inter Tight" w:eastAsia="Inter Tight" w:hAnsi="Inter Tight"/>
          <w:i/>
          <w:iCs/>
          <w:color w:val="2D6E8A"/>
          <w:sz w:val="20"/>
          <w:szCs w:val="20"/>
        </w:rPr>
        <w:t xml:space="preserve">Gated: the PDPL compliance program and DPIA must be signed off before this phase ships.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Key work.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Firebase Authentication; a Firestore data model with strict per-user security rules; App Check enforced.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Digital logbook: log flights, track currency per GACAR (VFR / IFR / night / landings).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Core calculators — weight &amp; balance first, then one or two more high-value ones.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Profile and settings; data export and full account deletion (PDPL data-subject rights).</w:t>
      </w:r>
    </w:p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Done when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A pilot can register, log a flight, see currency status, export a report, and fully delete their account and data.</w:t>
      </w:r>
    </w:p>
    <w:p>
      <w:pPr>
        <w:pStyle w:val="Heading2"/>
        <w:spacing w:before="320"/>
      </w:pPr>
      <w:r>
        <w:t xml:space="preserve">Phase 4 — Arabic, offline &amp; polish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Goal.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A complete, resilient bilingual progressive web app.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Key work.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Full Arabic RTL parity across the UI (the brand already provides RTL lockups).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Offline-aware service worker so the library is readable without signal — genuinely valuable for pilots.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Accessibility pass and Web Vitals; Playwright end-to-end test coverage; the error beacon and observability.</w:t>
      </w:r>
    </w:p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Done when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The whole UI works in Arabic RTL, the library works offline, and performance scores are green.</w:t>
      </w:r>
    </w:p>
    <w:p>
      <w:pPr>
        <w:pStyle w:val="Heading2"/>
        <w:spacing w:before="320"/>
      </w:pPr>
      <w:r>
        <w:t xml:space="preserve">Phase 5 — Money &amp; flight schools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Goal.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Turn on revenue — Captain Adel becomes the paid product.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Key work.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Define the pricing model and build pricing.html; set the free-vs-paid split with the assistant behind the paywall.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Integrate a Saudi payment gateway (e.g. Moyasar or Tap, SAR-native) wired to ZATCA Fatoora e-invoicing.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Build subscription and billing logic; handle VAT.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Flight-school and operator accounts (schools.html, admin view): seat management for cadets, instructor oversight.</w:t>
      </w:r>
    </w:p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Done when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A pilot can subscribe and receive a compliant e-invoice, and a flight school can buy and manage cadet seats.</w:t>
      </w:r>
    </w:p>
    <w:p>
      <w:pPr>
        <w:pStyle w:val="Heading2"/>
        <w:spacing w:before="320"/>
      </w:pPr>
      <w:r>
        <w:t xml:space="preserve">Phase 6 — Reach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Goal.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Extend distribution beyond the web app.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Key work.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Capacitor native wrapper for the iOS and Android app stores.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A documented public API for third-party integrations.</w:t>
      </w:r>
    </w:p>
    <w:p>
      <w:pPr>
        <w:pBdr>
          <w:left w:val="single" w:color="2D6E8A" w:sz="18" w:space="8"/>
        </w:pBdr>
        <w:shd w:fill="E6EEF1" w:val="clear"/>
        <w:spacing w:after="200" w:before="60" w:line="264"/>
        <w:ind w:left="150" w:right="150"/>
      </w:pPr>
      <w:r>
        <w:rPr>
          <w:rFonts w:ascii="Inter Tight" w:cs="Inter Tight" w:eastAsia="Inter Tight" w:hAnsi="Inter Tight"/>
          <w:b/>
          <w:bCs/>
          <w:color w:val="2D6E8A"/>
          <w:sz w:val="20"/>
          <w:szCs w:val="20"/>
        </w:rPr>
        <w:t xml:space="preserve">Done when —  </w:t>
      </w:r>
      <w:r>
        <w:rPr>
          <w:rFonts w:ascii="Inter Tight" w:cs="Inter Tight" w:eastAsia="Inter Tight" w:hAnsi="Inter Tight"/>
          <w:color w:val="1C2630"/>
          <w:sz w:val="20"/>
          <w:szCs w:val="20"/>
        </w:rPr>
        <w:t xml:space="preserve">The app is published in both stores and the public API has documented, versioned endpoints.</w:t>
      </w:r>
    </w:p>
    <w:p>
      <w:r>
        <w:br w:type="page"/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COMPANY</w:t>
      </w:r>
    </w:p>
    <w:p>
      <w:pPr>
        <w:pStyle w:val="Heading1"/>
      </w:pPr>
      <w:r>
        <w:t xml:space="preserve">7 · Business &amp; company track</w:t>
      </w:r>
    </w:p>
    <w:p>
      <w:pPr>
        <w:spacing w:after="140" w:line="264"/>
      </w:pPr>
      <w:r>
        <w:t xml:space="preserve">This runs alongside the build. Much of it is finalizing drafts that already exist in the project knowledge base — the strategic plan and OKRs, the PDPL program and DPIA, the ZATCA pack, the Monshaat SME kit, the NTDP application, and the founders / ESOP / IP agreements — rather than creating them from nothing.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Entity &amp; registration (with Phase 0).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Register via the Saudi Business Center; complete Monshaat SME registration; pursue NTDP support; open a business bank account.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Legal documents (with Phase 1).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Finalize the terms, EULA, disclaimers, and privacy notice once the document-redistribution question is settled.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PDPL compliance (before Phase 3).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Sign off the PDPL compliance program and the DPIA. This is the gate for handling personal data.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Tax &amp; e-invoicing (with Phase 5).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ZATCA: VAT registration (mandatory above SAR 375k revenue, voluntary from SAR 187.5k) and Fatoora e-invoicing integration.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Ongoing.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Bookkeeping and the monthly close; keep a decision log so the rationale behind big choices survives.</w:t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GROWTH</w:t>
      </w:r>
    </w:p>
    <w:p>
      <w:pPr>
        <w:pStyle w:val="Heading1"/>
      </w:pPr>
      <w:r>
        <w:t xml:space="preserve">8 · Go-to-market</w:t>
      </w:r>
    </w:p>
    <w:p>
      <w:pPr>
        <w:spacing w:after="140" w:line="264"/>
      </w:pPr>
      <w:r>
        <w:t xml:space="preserve">Saudi aviation is a small, reachable audience — which is an advantage. The brand system already co-brands “Captain Adel · on duty” as the face of the product, and that is the moat: a real, credentialed instructor (Chief Instructor, ATPL, CFII) standing behind every answer.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The play.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Publish regulatory explainers from Captain Adel’s LinkedIn (</w:t>
      </w:r>
      <w:hyperlink w:history="1" r:id="rIdejfpup1spzj9svqe61w0w">
        <w:r>
          <w:rPr>
            <w:rStyle w:val="Hyperlink"/>
            <w:rFonts w:ascii="Inter Tight" w:cs="Inter Tight" w:eastAsia="Inter Tight" w:hAnsi="Inter Tight"/>
            <w:sz w:val="21"/>
            <w:szCs w:val="21"/>
          </w:rPr>
          <w:t xml:space="preserve">sa.linkedin.com/in/captadel</w:t>
        </w:r>
      </w:hyperlink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) to build authority and funnel readers to the free library. Seed directly with flight schools and pilot communities. Capture a waitlist from the day the library launches.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The funnel.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The free library earns reach and trust; Captain Adel and the pilot tools convert individuals; flight-school and operator seats are where the revenue concentrates.</w:t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REFERENCE</w:t>
      </w:r>
    </w:p>
    <w:p>
      <w:pPr>
        <w:pStyle w:val="Heading1"/>
      </w:pPr>
      <w:r>
        <w:t xml:space="preserve">9 · Tech stack &amp;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Frontend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Vanilla JavaScript (ES2022), HTML5, CSS3, PWA — no framework.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Backend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Firebase Cloud Functions (Node.js 20).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Database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Cloud Firestore, me-central2 (Dammam) region.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Auth &amp; security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Firebase Authentication, App Check, strict security rules.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AI assistant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Captain Adel — Gemini, with a custom system prompt and a RAG pipeline.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Document pipeline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Python 3.11 for chunking and indexing; Node.js builders.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Hosting &amp; CI/CD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Firebase Hosting + GitHub Actions.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Web Vitals and a custom error beacon.</w:t>
            </w:r>
          </w:p>
        </w:tc>
      </w:tr>
      <w:tr>
        <w:tc>
          <w:tcPr>
            <w:tcW w:type="dxa" w:w="27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EAF1F3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Testing</w:t>
            </w:r>
          </w:p>
        </w:tc>
        <w:tc>
          <w:tcPr>
            <w:tcW w:type="dxa" w:w="666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Playwright end-to-end; a custom eval harness for the assistant.</w:t>
            </w:r>
          </w:p>
        </w:tc>
      </w:tr>
    </w:tbl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Repository (github.com/ay2m/flygaca): 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assets/ · assistant/ · build_finance/ · evals/ · functions/ (with functions/rag/) · library/PDFs/ · legal/ · office/ · tests/ · .github/ — plus the top-level HTML pages (flygaca, dashboard, library, lessons, exam, chat, pricing, schools, about, admin, settings).</w:t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START HERE</w:t>
      </w:r>
    </w:p>
    <w:p>
      <w:pPr>
        <w:pStyle w:val="Heading1"/>
      </w:pPr>
      <w:r>
        <w:t xml:space="preserve">10 · Immediate next actions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Confirm flygaca.com as the canonical domain.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Resolve the GACAR / AIP / advisory redistribution question — the one launch-blocker.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Decide the legal entity and lock the brand / company name.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Confirm the hosting recommendation (managed-first, Firebase + me-central2, VPS as the pipeline box).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Create the GitHub repository, the Firebase project, and the VPS pipeline box.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Curate the GACAR corpus — then begin the Phase 1 build.</w:t>
      </w:r>
    </w:p>
    <w:p>
      <w:r>
        <w:br w:type="page"/>
      </w:r>
    </w:p>
    <w:p>
      <w:pPr>
        <w:spacing w:after="40" w:before="240"/>
      </w:pPr>
      <w:r>
        <w:rPr>
          <w:rFonts w:ascii="Inter Tight" w:cs="Inter Tight" w:eastAsia="Inter Tight" w:hAnsi="Inter Tight"/>
          <w:b/>
          <w:bCs/>
          <w:color w:val="C8A04A"/>
          <w:spacing w:val="24"/>
          <w:sz w:val="15"/>
          <w:szCs w:val="15"/>
        </w:rPr>
        <w:t xml:space="preserve">APPENDIX</w:t>
      </w:r>
    </w:p>
    <w:p>
      <w:pPr>
        <w:pStyle w:val="Heading1"/>
      </w:pPr>
      <w:r>
        <w:t xml:space="preserve">A · Brand quick-reference</w:t>
      </w:r>
    </w:p>
    <w:p>
      <w:pPr>
        <w:spacing w:after="140" w:line="264"/>
      </w:pPr>
      <w:r>
        <w:t xml:space="preserve">Carried from the Fly GACA Brand Identity Sheet (Mark v2, Falcon-over-Kingdom) so whichever tool builds the interface has the essentials.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500"/>
        <w:gridCol w:w="1500"/>
        <w:gridCol w:w="4210"/>
      </w:tblGrid>
      <w:tr>
        <w:trPr>
          <w:tblHeader/>
        </w:trPr>
        <w:tc>
          <w:tcPr>
            <w:tcW w:type="dxa" w:w="11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1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21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11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0A0E1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Falcon Night</w:t>
            </w:r>
          </w:p>
        </w:tc>
        <w:tc>
          <w:tcPr>
            <w:tcW w:type="dxa" w:w="1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color w:val="1C2630"/>
                <w:sz w:val="19"/>
                <w:szCs w:val="19"/>
              </w:rPr>
              <w:t xml:space="preserve">#0A0E12</w:t>
            </w:r>
          </w:p>
        </w:tc>
        <w:tc>
          <w:tcPr>
            <w:tcW w:type="dxa" w:w="421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Primary canvas — the deck the falcon rests on.</w:t>
            </w:r>
          </w:p>
        </w:tc>
      </w:tr>
      <w:tr>
        <w:tc>
          <w:tcPr>
            <w:tcW w:type="dxa" w:w="11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2D6E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Falcon Teal</w:t>
            </w:r>
          </w:p>
        </w:tc>
        <w:tc>
          <w:tcPr>
            <w:tcW w:type="dxa" w:w="1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color w:val="1C2630"/>
                <w:sz w:val="19"/>
                <w:szCs w:val="19"/>
              </w:rPr>
              <w:t xml:space="preserve">#2D6E8A</w:t>
            </w:r>
          </w:p>
        </w:tc>
        <w:tc>
          <w:tcPr>
            <w:tcW w:type="dxa" w:w="421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Primary brand colour. Buttons, links, focus.</w:t>
            </w:r>
          </w:p>
        </w:tc>
      </w:tr>
      <w:tr>
        <w:tc>
          <w:tcPr>
            <w:tcW w:type="dxa" w:w="11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8FC9A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Falcon Sage</w:t>
            </w:r>
          </w:p>
        </w:tc>
        <w:tc>
          <w:tcPr>
            <w:tcW w:type="dxa" w:w="1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color w:val="1C2630"/>
                <w:sz w:val="19"/>
                <w:szCs w:val="19"/>
              </w:rPr>
              <w:t xml:space="preserve">#8FC9A8</w:t>
            </w:r>
          </w:p>
        </w:tc>
        <w:tc>
          <w:tcPr>
            <w:tcW w:type="dxa" w:w="421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Secondary accent. Success states.</w:t>
            </w:r>
          </w:p>
        </w:tc>
      </w:tr>
      <w:tr>
        <w:tc>
          <w:tcPr>
            <w:tcW w:type="dxa" w:w="11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C8A0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Falcon Gold</w:t>
            </w:r>
          </w:p>
        </w:tc>
        <w:tc>
          <w:tcPr>
            <w:tcW w:type="dxa" w:w="1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color w:val="1C2630"/>
                <w:sz w:val="19"/>
                <w:szCs w:val="19"/>
              </w:rPr>
              <w:t xml:space="preserve">#C8A04A</w:t>
            </w:r>
          </w:p>
        </w:tc>
        <w:tc>
          <w:tcPr>
            <w:tcW w:type="dxa" w:w="421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Heritage accent — eyebrows and version stamps only, sparingly.</w:t>
            </w:r>
          </w:p>
        </w:tc>
      </w:tr>
      <w:tr>
        <w:tc>
          <w:tcPr>
            <w:tcW w:type="dxa" w:w="11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4A9CB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Teal Bright</w:t>
            </w:r>
          </w:p>
        </w:tc>
        <w:tc>
          <w:tcPr>
            <w:tcW w:type="dxa" w:w="1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color w:val="1C2630"/>
                <w:sz w:val="19"/>
                <w:szCs w:val="19"/>
              </w:rPr>
              <w:t xml:space="preserve">#4A9CB8</w:t>
            </w:r>
          </w:p>
        </w:tc>
        <w:tc>
          <w:tcPr>
            <w:tcW w:type="dxa" w:w="421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Hover, links on dark, focus rings.</w:t>
            </w:r>
          </w:p>
        </w:tc>
      </w:tr>
      <w:tr>
        <w:tc>
          <w:tcPr>
            <w:tcW w:type="dxa" w:w="115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shd w:fill="F5F2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/>
                <w:bCs/>
                <w:color w:val="234E60"/>
                <w:sz w:val="19"/>
                <w:szCs w:val="19"/>
              </w:rPr>
              <w:t xml:space="preserve">Ivory</w:t>
            </w:r>
          </w:p>
        </w:tc>
        <w:tc>
          <w:tcPr>
            <w:tcW w:type="dxa" w:w="150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color w:val="1C2630"/>
                <w:sz w:val="19"/>
                <w:szCs w:val="19"/>
              </w:rPr>
              <w:t xml:space="preserve">#F5F2ED</w:t>
            </w:r>
          </w:p>
        </w:tc>
        <w:tc>
          <w:tcPr>
            <w:tcW w:type="dxa" w:w="4210"/>
            <w:tcBorders>
              <w:top w:val="single" w:color="C9D6DC" w:sz="2"/>
              <w:left w:val="single" w:color="C9D6DC" w:sz="2"/>
              <w:bottom w:val="single" w:color="C9D6DC" w:sz="2"/>
              <w:right w:val="single" w:color="C9D6DC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8"/>
            </w:pPr>
            <w:r>
              <w:rPr>
                <w:rFonts w:ascii="Inter Tight" w:cs="Inter Tight" w:eastAsia="Inter Tight" w:hAnsi="Inter Tight"/>
                <w:b w:val="false"/>
                <w:bCs w:val="false"/>
                <w:color w:val="1C2630"/>
                <w:sz w:val="19"/>
                <w:szCs w:val="19"/>
              </w:rPr>
              <w:t xml:space="preserve">Reading surface — documents and library.</w:t>
            </w:r>
          </w:p>
        </w:tc>
      </w:tr>
    </w:tbl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Typography.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Inter Tight throughout; the wordmark sets “Fly” solid and “GACA” in a teal-to-sage gradient.</w:t>
      </w:r>
    </w:p>
    <w:p>
      <w:pPr>
        <w:spacing w:after="140" w:line="264"/>
      </w:pPr>
      <w:r>
        <w:rPr>
          <w:rFonts w:ascii="Inter Tight" w:cs="Inter Tight" w:eastAsia="Inter Tight" w:hAnsi="Inter Tight"/>
          <w:b/>
          <w:bCs/>
          <w:color w:val="1C2630"/>
          <w:sz w:val="21"/>
          <w:szCs w:val="21"/>
        </w:rPr>
        <w:t xml:space="preserve">The mark. </w:t>
      </w:r>
      <w:r>
        <w:rPr>
          <w:rFonts w:ascii="Inter Tight" w:cs="Inter Tight" w:eastAsia="Inter Tight" w:hAnsi="Inter Tight"/>
          <w:color w:val="1C2630"/>
          <w:sz w:val="21"/>
          <w:szCs w:val="21"/>
        </w:rPr>
        <w:t xml:space="preserve">Two falcon wings inside the silhouette of the Kingdom, with the letter F in the negative space. Never stretch, skew, rotate, recolour, or outline it; keep at least 4.5:1 contrast against any background; minimum size 16 px; preferred surface Falcon Night.</w:t>
      </w:r>
    </w:p>
    <w:sectPr>
      <w:footerReference w:type="default" r:id="rId7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Inter Tight" w:cs="Inter Tight" w:eastAsia="Inter Tight" w:hAnsi="Inter Tight"/>
        <w:color w:val="8A97A0"/>
        <w:spacing w:val="14"/>
        <w:sz w:val="15"/>
        <w:szCs w:val="15"/>
      </w:rPr>
      <w:t xml:space="preserve">FLY GACA  ·  MASTER PLAN</w:t>
    </w:r>
    <w:r>
      <w:rPr>
        <w:rFonts w:ascii="Inter Tight" w:cs="Inter Tight" w:eastAsia="Inter Tight" w:hAnsi="Inter Tight"/>
      </w:rPr>
      <w:t xml:space="preserve">	</w:t>
    </w:r>
    <w:r>
      <w:rPr>
        <w:rFonts w:ascii="Inter Tight" w:cs="Inter Tight" w:eastAsia="Inter Tight" w:hAnsi="Inter Tight"/>
        <w:color w:val="8A97A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2D6E8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  <w:rPr>
        <w:b/>
        <w:bCs/>
        <w:color w:val="2D6E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 Tight" w:cs="Inter Tight" w:eastAsia="Inter Tight" w:hAnsi="Inter Tight"/>
        <w:color w:val="1C26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6DC" w:sz="6" w:space="4"/>
      </w:pBdr>
      <w:spacing w:after="160" w:before="80"/>
      <w:outlineLvl w:val="0"/>
    </w:pPr>
    <w:rPr>
      <w:rFonts w:ascii="Inter Tight" w:cs="Inter Tight" w:eastAsia="Inter Tight" w:hAnsi="Inter Tight"/>
      <w:b/>
      <w:bCs/>
      <w:color w:val="2D6E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Inter Tight" w:cs="Inter Tight" w:eastAsia="Inter Tight" w:hAnsi="Inter Tight"/>
      <w:b/>
      <w:bCs/>
      <w:color w:val="234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jfpup1spzj9svqe61w0w" Type="http://schemas.openxmlformats.org/officeDocument/2006/relationships/hyperlink" Target="https://sa.linkedin.com/in/captade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2026-05-21T22:24:25.410Z</dcterms:created>
  <dcterms:modified xsi:type="dcterms:W3CDTF">2026-05-21T22:24:25.410Z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