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none"/>
              <w:left w:val="none"/>
              <w:bottom w:val="single" w:color="C8A04A" w:sz="12"/>
              <w:right w:val="none"/>
            </w:tcBorders>
            <w:shd w:fill="2D6E8A"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FLY GACA</w:t>
            </w:r>
          </w:p>
          <w:p>
            <w:pPr>
              <w:jc w:val="center"/>
            </w:pPr>
            <w:r>
              <w:rPr>
                <w:rFonts w:ascii="Arial" w:cs="Arial" w:eastAsia="Arial" w:hAnsi="Arial"/>
                <w:b/>
                <w:bCs/>
                <w:color w:val="C8A04A"/>
                <w:sz w:val="28"/>
                <w:szCs w:val="28"/>
              </w:rPr>
              <w:t xml:space="preserve">Finance &amp; Accounting</w:t>
            </w:r>
          </w:p>
        </w:tc>
      </w:tr>
    </w:tbl>
    <w:p>
      <w:pPr>
        <w:spacing w:after="0" w:before="120"/>
      </w:pPr>
      <w:r>
        <w:t xml:space="preserve"/>
      </w:r>
    </w:p>
    <w:p>
      <w:pPr>
        <w:spacing w:after="200" w:before="200"/>
        <w:jc w:val="center"/>
      </w:pPr>
      <w:r>
        <w:rPr>
          <w:rFonts w:ascii="Arial" w:cs="Arial" w:eastAsia="Arial" w:hAnsi="Arial"/>
          <w:b/>
          <w:bCs/>
          <w:color w:val="2D6E8A"/>
          <w:sz w:val="48"/>
          <w:szCs w:val="48"/>
        </w:rPr>
        <w:t xml:space="preserve">Capital Expenditure (Capex) Policy</w:t>
      </w:r>
    </w:p>
    <w:p>
      <w:pPr>
        <w:spacing w:after="80" w:before="80"/>
        <w:jc w:val="center"/>
      </w:pPr>
      <w:r>
        <w:rPr>
          <w:rFonts w:ascii="Arial" w:cs="Arial" w:eastAsia="Arial" w:hAnsi="Arial"/>
          <w:color w:val="555555"/>
          <w:sz w:val="20"/>
          <w:szCs w:val="20"/>
        </w:rPr>
        <w:t xml:space="preserve">Fly GACA  ·  Finance &amp; Accounting  ·  v1.0  ·  May 2026</w:t>
      </w:r>
    </w:p>
    <w:p>
      <w:pPr>
        <w:spacing w:after="40" w:before="40"/>
        <w:jc w:val="center"/>
      </w:pPr>
      <w:r>
        <w:rPr>
          <w:rFonts w:ascii="Arial" w:cs="Arial" w:eastAsia="Arial" w:hAnsi="Arial"/>
          <w:color w:val="555555"/>
          <w:sz w:val="20"/>
          <w:szCs w:val="20"/>
        </w:rPr>
        <w:t xml:space="preserve">Captain Adel Yahya A. Madkhali, Founder</w:t>
      </w:r>
    </w:p>
    <w:p>
      <w:pPr>
        <w:spacing w:after="80" w:before="40"/>
        <w:jc w:val="center"/>
      </w:pPr>
      <w:r>
        <w:rPr>
          <w:rFonts w:ascii="Arial" w:cs="Arial" w:eastAsia="Arial" w:hAnsi="Arial"/>
          <w:color w:val="555555"/>
          <w:sz w:val="18"/>
          <w:szCs w:val="18"/>
        </w:rPr>
        <w:t xml:space="preserve">i@flygaca.com  ·  +966 51 096 6969  ·  flygaca.com</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C8A04A" w:sz="4"/>
              <w:left w:val="single" w:color="2D6E8A" w:sz="12"/>
              <w:bottom w:val="single" w:color="C8A04A" w:sz="4"/>
              <w:right w:val="none" w:color="FFFFFF" w:sz="0"/>
            </w:tcBorders>
            <w:shd w:fill="B5DDC2" w:val="clear"/>
            <w:tcMar>
              <w:top w:type="dxa" w:w="120"/>
              <w:left w:type="dxa" w:w="180"/>
              <w:bottom w:type="dxa" w:w="120"/>
              <w:right w:type="dxa" w:w="180"/>
            </w:tcMar>
          </w:tcPr>
          <w:p>
            <w:pPr>
              <w:spacing w:after="0" w:before="0"/>
            </w:pPr>
            <w:r>
              <w:rPr>
                <w:rFonts w:ascii="Arial" w:cs="Arial" w:eastAsia="Arial" w:hAnsi="Arial"/>
                <w:b/>
                <w:bCs/>
                <w:color w:val="0A0E12"/>
                <w:sz w:val="20"/>
                <w:szCs w:val="20"/>
              </w:rPr>
              <w:t xml:space="preserve">Why This Matters  </w:t>
            </w:r>
            <w:r>
              <w:rPr>
                <w:rFonts w:ascii="Arial" w:cs="Arial" w:eastAsia="Arial" w:hAnsi="Arial"/>
                <w:color w:val="0A0E12"/>
                <w:sz w:val="20"/>
                <w:szCs w:val="20"/>
              </w:rPr>
              <w:t xml:space="preserve">Proper capitalization and depreciation of assets ensures accurate financial statements, correct tax deductions, and credible balance sheets for investors. Under-capitalization inflates expenses; over-capitalization inflates assets — both distort the true financial picture.</w:t>
            </w:r>
          </w:p>
        </w:tc>
      </w:tr>
    </w:tbl>
    <w:p>
      <w:pPr>
        <w:spacing w:after="0" w:before="120"/>
      </w:pPr>
      <w:r>
        <w:t xml:space="preserve"/>
      </w:r>
    </w:p>
    <w:p>
      <w:pPr>
        <w:spacing w:after="120" w:before="240"/>
      </w:pPr>
      <w:r>
        <w:rPr>
          <w:rFonts w:ascii="Arial" w:cs="Arial" w:eastAsia="Arial" w:hAnsi="Arial"/>
          <w:b/>
          <w:bCs/>
          <w:color w:val="2D6E8A"/>
          <w:sz w:val="28"/>
          <w:szCs w:val="28"/>
        </w:rPr>
        <w:t xml:space="preserve">1. Definition of Capital Expenditure</w:t>
      </w:r>
    </w:p>
    <w:p>
      <w:pPr>
        <w:spacing w:after="60" w:before="60"/>
      </w:pPr>
      <w:r>
        <w:rPr>
          <w:rFonts w:ascii="Arial" w:cs="Arial" w:eastAsia="Arial" w:hAnsi="Arial"/>
          <w:color w:val="0A0E12"/>
          <w:sz w:val="22"/>
          <w:szCs w:val="22"/>
        </w:rPr>
        <w:t xml:space="preserve">A capital expenditure (Capex) is defined as the acquisition of, or material improvement to, a tangible or intangible asset that meets ALL of the following:</w:t>
      </w:r>
    </w:p>
    <w:p>
      <w:pPr>
        <w:pStyle w:val="ListParagraph"/>
        <w:numPr>
          <w:ilvl w:val="0"/>
          <w:numId w:val="1"/>
        </w:numPr>
        <w:spacing w:after="40" w:before="40"/>
      </w:pPr>
      <w:r>
        <w:rPr>
          <w:rFonts w:ascii="Arial" w:cs="Arial" w:eastAsia="Arial" w:hAnsi="Arial"/>
          <w:color w:val="0A0E12"/>
          <w:sz w:val="22"/>
          <w:szCs w:val="22"/>
        </w:rPr>
        <w:t xml:space="preserve">Acquisition cost or improvement value ≥ 2,500 SAR (below this threshold: expense immediately)</w:t>
      </w:r>
    </w:p>
    <w:p>
      <w:pPr>
        <w:pStyle w:val="ListParagraph"/>
        <w:numPr>
          <w:ilvl w:val="0"/>
          <w:numId w:val="1"/>
        </w:numPr>
        <w:spacing w:after="40" w:before="40"/>
      </w:pPr>
      <w:r>
        <w:rPr>
          <w:rFonts w:ascii="Arial" w:cs="Arial" w:eastAsia="Arial" w:hAnsi="Arial"/>
          <w:color w:val="0A0E12"/>
          <w:sz w:val="22"/>
          <w:szCs w:val="22"/>
        </w:rPr>
        <w:t xml:space="preserve">Expected useful life exceeds 12 months from the date of acquisition</w:t>
      </w:r>
    </w:p>
    <w:p>
      <w:pPr>
        <w:pStyle w:val="ListParagraph"/>
        <w:numPr>
          <w:ilvl w:val="0"/>
          <w:numId w:val="1"/>
        </w:numPr>
        <w:spacing w:after="40" w:before="40"/>
      </w:pPr>
      <w:r>
        <w:rPr>
          <w:rFonts w:ascii="Arial" w:cs="Arial" w:eastAsia="Arial" w:hAnsi="Arial"/>
          <w:color w:val="0A0E12"/>
          <w:sz w:val="22"/>
          <w:szCs w:val="22"/>
        </w:rPr>
        <w:t xml:space="preserve">Used in the generation of revenue or operations of the business</w:t>
      </w:r>
    </w:p>
    <w:p>
      <w:pPr>
        <w:spacing w:after="60" w:before="60"/>
      </w:pPr>
      <w:r>
        <w:rPr>
          <w:rFonts w:ascii="Arial" w:cs="Arial" w:eastAsia="Arial" w:hAnsi="Arial"/>
          <w:color w:val="0A0E12"/>
          <w:sz w:val="22"/>
          <w:szCs w:val="22"/>
        </w:rPr>
        <w:t xml:space="preserve">Items below 2,500 SAR are expensed in the period incurred, even if they would otherwise qualify as long-lived assets (e.g., replacement parts, accessories, minor software add-ons).</w:t>
      </w:r>
    </w:p>
    <w:p>
      <w:pPr>
        <w:spacing w:after="120" w:before="240"/>
      </w:pPr>
      <w:r>
        <w:rPr>
          <w:rFonts w:ascii="Arial" w:cs="Arial" w:eastAsia="Arial" w:hAnsi="Arial"/>
          <w:b/>
          <w:bCs/>
          <w:color w:val="2D6E8A"/>
          <w:sz w:val="28"/>
          <w:szCs w:val="28"/>
        </w:rPr>
        <w:t xml:space="preserve">2. Asset Categories &amp; Depreciation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Asset Category</w:t>
            </w:r>
          </w:p>
        </w:tc>
        <w:tc>
          <w:tcPr>
            <w:tcW w:type="dxa" w:w="9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CoA Code</w:t>
            </w:r>
          </w:p>
        </w:tc>
        <w:tc>
          <w:tcPr>
            <w:tcW w:type="dxa" w:w="13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Method</w:t>
            </w:r>
          </w:p>
        </w:tc>
        <w:tc>
          <w:tcPr>
            <w:tcW w:type="dxa" w:w="12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Useful Life</w:t>
            </w:r>
          </w:p>
        </w:tc>
        <w:tc>
          <w:tcPr>
            <w:tcW w:type="dxa" w:w="11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Residual Value</w:t>
            </w:r>
          </w:p>
        </w:tc>
      </w:tr>
      <w:tr>
        <w:tc>
          <w:tcPr>
            <w:tcW w:type="dxa" w:w="2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Computer Hardware (laptops, tablets, peripherals)</w:t>
            </w:r>
          </w:p>
        </w:tc>
        <w:tc>
          <w:tcPr>
            <w:tcW w:type="dxa" w:w="9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1410</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Straight-line</w:t>
            </w:r>
          </w:p>
        </w:tc>
        <w:tc>
          <w:tcPr>
            <w:tcW w:type="dxa" w:w="1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3 years</w:t>
            </w:r>
          </w:p>
        </w:tc>
        <w:tc>
          <w:tcPr>
            <w:tcW w:type="dxa" w:w="1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10% or nil</w:t>
            </w:r>
          </w:p>
        </w:tc>
      </w:tr>
      <w:tr>
        <w:tc>
          <w:tcPr>
            <w:tcW w:type="dxa" w:w="2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Servers and Network Equipment</w:t>
            </w:r>
          </w:p>
        </w:tc>
        <w:tc>
          <w:tcPr>
            <w:tcW w:type="dxa" w:w="9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1410</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Straight-line</w:t>
            </w:r>
          </w:p>
        </w:tc>
        <w:tc>
          <w:tcPr>
            <w:tcW w:type="dxa" w:w="1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3 years</w:t>
            </w:r>
          </w:p>
        </w:tc>
        <w:tc>
          <w:tcPr>
            <w:tcW w:type="dxa" w:w="1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10%</w:t>
            </w:r>
          </w:p>
        </w:tc>
      </w:tr>
      <w:tr>
        <w:tc>
          <w:tcPr>
            <w:tcW w:type="dxa" w:w="2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Furniture &amp; Fixtures</w:t>
            </w:r>
          </w:p>
        </w:tc>
        <w:tc>
          <w:tcPr>
            <w:tcW w:type="dxa" w:w="9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1420</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Straight-line</w:t>
            </w:r>
          </w:p>
        </w:tc>
        <w:tc>
          <w:tcPr>
            <w:tcW w:type="dxa" w:w="1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5 years</w:t>
            </w:r>
          </w:p>
        </w:tc>
        <w:tc>
          <w:tcPr>
            <w:tcW w:type="dxa" w:w="1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10%</w:t>
            </w:r>
          </w:p>
        </w:tc>
      </w:tr>
      <w:tr>
        <w:tc>
          <w:tcPr>
            <w:tcW w:type="dxa" w:w="2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Intangible Assets — Trademarks &amp; IP</w:t>
            </w:r>
          </w:p>
        </w:tc>
        <w:tc>
          <w:tcPr>
            <w:tcW w:type="dxa" w:w="9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1520</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Straight-line</w:t>
            </w:r>
          </w:p>
        </w:tc>
        <w:tc>
          <w:tcPr>
            <w:tcW w:type="dxa" w:w="1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5 years or legal life</w:t>
            </w:r>
          </w:p>
        </w:tc>
        <w:tc>
          <w:tcPr>
            <w:tcW w:type="dxa" w:w="1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Nil</w:t>
            </w:r>
          </w:p>
        </w:tc>
      </w:tr>
      <w:tr>
        <w:tc>
          <w:tcPr>
            <w:tcW w:type="dxa" w:w="2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Software Licenses (annual SaaS)</w:t>
            </w:r>
          </w:p>
        </w:tc>
        <w:tc>
          <w:tcPr>
            <w:tcW w:type="dxa" w:w="9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1510</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Amortize over license term</w:t>
            </w:r>
          </w:p>
        </w:tc>
        <w:tc>
          <w:tcPr>
            <w:tcW w:type="dxa" w:w="1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Per contract</w:t>
            </w:r>
          </w:p>
        </w:tc>
        <w:tc>
          <w:tcPr>
            <w:tcW w:type="dxa" w:w="1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Nil</w:t>
            </w:r>
          </w:p>
        </w:tc>
      </w:tr>
      <w:tr>
        <w:tc>
          <w:tcPr>
            <w:tcW w:type="dxa" w:w="2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Software Licenses (perpetual)</w:t>
            </w:r>
          </w:p>
        </w:tc>
        <w:tc>
          <w:tcPr>
            <w:tcW w:type="dxa" w:w="9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1510</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Straight-line</w:t>
            </w:r>
          </w:p>
        </w:tc>
        <w:tc>
          <w:tcPr>
            <w:tcW w:type="dxa" w:w="1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3 years</w:t>
            </w:r>
          </w:p>
        </w:tc>
        <w:tc>
          <w:tcPr>
            <w:tcW w:type="dxa" w:w="1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Nil</w:t>
            </w:r>
          </w:p>
        </w:tc>
      </w:tr>
      <w:tr>
        <w:tc>
          <w:tcPr>
            <w:tcW w:type="dxa" w:w="2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Leasehold Improvements</w:t>
            </w:r>
          </w:p>
        </w:tc>
        <w:tc>
          <w:tcPr>
            <w:tcW w:type="dxa" w:w="9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1400</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Straight-line over shorter of lease or asset life</w:t>
            </w:r>
          </w:p>
        </w:tc>
        <w:tc>
          <w:tcPr>
            <w:tcW w:type="dxa" w:w="1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Lease term</w:t>
            </w:r>
          </w:p>
        </w:tc>
        <w:tc>
          <w:tcPr>
            <w:tcW w:type="dxa" w:w="1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Nil</w:t>
            </w:r>
          </w:p>
        </w:tc>
      </w:tr>
    </w:tbl>
    <w:p>
      <w:pPr>
        <w:spacing w:after="120" w:before="240"/>
      </w:pPr>
      <w:r>
        <w:rPr>
          <w:rFonts w:ascii="Arial" w:cs="Arial" w:eastAsia="Arial" w:hAnsi="Arial"/>
          <w:b/>
          <w:bCs/>
          <w:color w:val="2D6E8A"/>
          <w:sz w:val="28"/>
          <w:szCs w:val="28"/>
        </w:rPr>
        <w:t xml:space="preserve">3. Approval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Capex Amount</w:t>
            </w:r>
          </w:p>
        </w:tc>
        <w:tc>
          <w:tcPr>
            <w:tcW w:type="dxa" w:w="20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Approval Authority</w:t>
            </w:r>
          </w:p>
        </w:tc>
        <w:tc>
          <w:tcPr>
            <w:tcW w:type="dxa" w:w="32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Process Required</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2,500 – 5,000 SAR</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Manager / Founder</w:t>
            </w:r>
          </w:p>
        </w:tc>
        <w:tc>
          <w:tcPr>
            <w:tcW w:type="dxa" w:w="3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Expense report with asset register entry</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5,001 – 25,000 SAR</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w:t>
            </w:r>
          </w:p>
        </w:tc>
        <w:tc>
          <w:tcPr>
            <w:tcW w:type="dxa" w:w="3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Capex Request Form + minimum 1 vendor quote</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25,001 – 100,000 SAR</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 + Board Notification</w:t>
            </w:r>
          </w:p>
        </w:tc>
        <w:tc>
          <w:tcPr>
            <w:tcW w:type="dxa" w:w="3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Capex Request Form + 2 quotes; board informed at next meeting</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&gt; 100,000 SAR</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Board Approval (resolution)</w:t>
            </w:r>
          </w:p>
        </w:tc>
        <w:tc>
          <w:tcPr>
            <w:tcW w:type="dxa" w:w="3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Board resolution required before any commitment or purchase order</w:t>
            </w:r>
          </w:p>
        </w:tc>
      </w:tr>
    </w:tbl>
    <w:p>
      <w:pPr>
        <w:spacing w:after="120" w:before="240"/>
      </w:pPr>
      <w:r>
        <w:rPr>
          <w:rFonts w:ascii="Arial" w:cs="Arial" w:eastAsia="Arial" w:hAnsi="Arial"/>
          <w:b/>
          <w:bCs/>
          <w:color w:val="2D6E8A"/>
          <w:sz w:val="28"/>
          <w:szCs w:val="28"/>
        </w:rPr>
        <w:t xml:space="preserve">4. Annual Capex Budget</w:t>
      </w:r>
    </w:p>
    <w:p>
      <w:pPr>
        <w:spacing w:after="60" w:before="60"/>
      </w:pPr>
      <w:r>
        <w:rPr>
          <w:rFonts w:ascii="Arial" w:cs="Arial" w:eastAsia="Arial" w:hAnsi="Arial"/>
          <w:color w:val="0A0E12"/>
          <w:sz w:val="22"/>
          <w:szCs w:val="22"/>
        </w:rPr>
        <w:t xml:space="preserve">A Capex budget is approved annually at the start of the fiscal year. Unplanned Capex exceeding 10% of the total approved annual Capex budget requires Founder approval. If cumulative unplanned Capex exceeds 25% of the annual budget, a board notification or approval is required before further commitments.</w:t>
      </w:r>
    </w:p>
    <w:p>
      <w:pPr>
        <w:spacing w:after="120" w:before="240"/>
      </w:pPr>
      <w:r>
        <w:rPr>
          <w:rFonts w:ascii="Arial" w:cs="Arial" w:eastAsia="Arial" w:hAnsi="Arial"/>
          <w:b/>
          <w:bCs/>
          <w:color w:val="2D6E8A"/>
          <w:sz w:val="28"/>
          <w:szCs w:val="28"/>
        </w:rPr>
        <w:t xml:space="preserve">5. Capitalization vs. Expense — Decision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Scenario</w:t>
            </w:r>
          </w:p>
        </w:tc>
        <w:tc>
          <w:tcPr>
            <w:tcW w:type="dxa" w:w="10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Amount</w:t>
            </w:r>
          </w:p>
        </w:tc>
        <w:tc>
          <w:tcPr>
            <w:tcW w:type="dxa" w:w="15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Treatment</w:t>
            </w:r>
          </w:p>
        </w:tc>
        <w:tc>
          <w:tcPr>
            <w:tcW w:type="dxa" w:w="23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Rationale</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New MacBook Pro for engineer</w:t>
            </w:r>
          </w:p>
        </w:tc>
        <w:tc>
          <w:tcPr>
            <w:tcW w:type="dxa" w:w="1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4,800 SAR</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Capitalize (1410)</w:t>
            </w:r>
          </w:p>
        </w:tc>
        <w:tc>
          <w:tcPr>
            <w:tcW w:type="dxa" w:w="2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Meets SAR threshold and useful life criteria</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Laptop protective case</w:t>
            </w:r>
          </w:p>
        </w:tc>
        <w:tc>
          <w:tcPr>
            <w:tcW w:type="dxa" w:w="1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250 SAR</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Expense (5600)</w:t>
            </w:r>
          </w:p>
        </w:tc>
        <w:tc>
          <w:tcPr>
            <w:tcW w:type="dxa" w:w="2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Below 2,500 SAR threshold</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Annual Figma subscription</w:t>
            </w:r>
          </w:p>
        </w:tc>
        <w:tc>
          <w:tcPr>
            <w:tcW w:type="dxa" w:w="1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6,000 SAR</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Prepaid; amortize (1300)</w:t>
            </w:r>
          </w:p>
        </w:tc>
        <w:tc>
          <w:tcPr>
            <w:tcW w:type="dxa" w:w="2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SaaS; no perpetual asset; release to 5600 monthly</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Office chair</w:t>
            </w:r>
          </w:p>
        </w:tc>
        <w:tc>
          <w:tcPr>
            <w:tcW w:type="dxa" w:w="1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1,800 SAR</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Expense (5600)</w:t>
            </w:r>
          </w:p>
        </w:tc>
        <w:tc>
          <w:tcPr>
            <w:tcW w:type="dxa" w:w="2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Below threshold</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Trademark registration + filing</w:t>
            </w:r>
          </w:p>
        </w:tc>
        <w:tc>
          <w:tcPr>
            <w:tcW w:type="dxa" w:w="1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5,200 SAR</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Capitalize (1520)</w:t>
            </w:r>
          </w:p>
        </w:tc>
        <w:tc>
          <w:tcPr>
            <w:tcW w:type="dxa" w:w="2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Intangible with multi-year legal protection</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RAM upgrade to existing server</w:t>
            </w:r>
          </w:p>
        </w:tc>
        <w:tc>
          <w:tcPr>
            <w:tcW w:type="dxa" w:w="1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1,100 SAR</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Expense (5600)</w:t>
            </w:r>
          </w:p>
        </w:tc>
        <w:tc>
          <w:tcPr>
            <w:tcW w:type="dxa" w:w="2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Below threshold even if tied to capital asset</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Custom domain + first-year hosting</w:t>
            </w:r>
          </w:p>
        </w:tc>
        <w:tc>
          <w:tcPr>
            <w:tcW w:type="dxa" w:w="1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800 SAR</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Expense (5600)</w:t>
            </w:r>
          </w:p>
        </w:tc>
        <w:tc>
          <w:tcPr>
            <w:tcW w:type="dxa" w:w="2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Below threshold; annual renewal is expense</w:t>
            </w:r>
          </w:p>
        </w:tc>
      </w:tr>
    </w:tbl>
    <w:p>
      <w:pPr>
        <w:spacing w:after="120" w:before="240"/>
      </w:pPr>
      <w:r>
        <w:rPr>
          <w:rFonts w:ascii="Arial" w:cs="Arial" w:eastAsia="Arial" w:hAnsi="Arial"/>
          <w:b/>
          <w:bCs/>
          <w:color w:val="2D6E8A"/>
          <w:sz w:val="28"/>
          <w:szCs w:val="28"/>
        </w:rPr>
        <w:t xml:space="preserve">6. Procurement Process</w:t>
      </w:r>
    </w:p>
    <w:p>
      <w:pPr>
        <w:spacing w:after="60" w:before="60"/>
      </w:pPr>
      <w:r>
        <w:rPr>
          <w:rFonts w:ascii="Arial" w:cs="Arial" w:eastAsia="Arial" w:hAnsi="Arial"/>
          <w:color w:val="0A0E12"/>
          <w:sz w:val="22"/>
          <w:szCs w:val="22"/>
        </w:rPr>
        <w:t xml:space="preserve">All Capex acquisitions follow the Procurement Policy. Key steps: (1) Submit a Capex Request Form to Finance before committing to any purchase. (2) Obtain required quotes per value threshold. (3) Upon approval, Finance issues a purchase order or approves the vendor invoice directly. (4) Asset is tagged (asset number label) and entered into the Fixed Asset Register upon physical receipt and acceptance.</w:t>
      </w:r>
    </w:p>
    <w:p>
      <w:pPr>
        <w:spacing w:after="120" w:before="240"/>
      </w:pPr>
      <w:r>
        <w:rPr>
          <w:rFonts w:ascii="Arial" w:cs="Arial" w:eastAsia="Arial" w:hAnsi="Arial"/>
          <w:b/>
          <w:bCs/>
          <w:color w:val="2D6E8A"/>
          <w:sz w:val="28"/>
          <w:szCs w:val="28"/>
        </w:rPr>
        <w:t xml:space="preserve">7. Fixed Asset Register (FAR)</w:t>
      </w:r>
    </w:p>
    <w:p>
      <w:pPr>
        <w:spacing w:after="60" w:before="60"/>
      </w:pPr>
      <w:r>
        <w:rPr>
          <w:rFonts w:ascii="Arial" w:cs="Arial" w:eastAsia="Arial" w:hAnsi="Arial"/>
          <w:color w:val="0A0E12"/>
          <w:sz w:val="22"/>
          <w:szCs w:val="22"/>
        </w:rPr>
        <w:t xml:space="preserve">Finance maintains a FAR containing: asset description, category, acquisition date, cost, physical location, serial/model number, depreciation method, annual depreciation charge, accumulated depreciation to date, net book value, and disposal date/proceeds (when applicable).</w:t>
      </w:r>
    </w:p>
    <w:p>
      <w:pPr>
        <w:spacing w:after="60" w:before="60"/>
      </w:pPr>
      <w:r>
        <w:rPr>
          <w:rFonts w:ascii="Arial" w:cs="Arial" w:eastAsia="Arial" w:hAnsi="Arial"/>
          <w:color w:val="0A0E12"/>
          <w:sz w:val="22"/>
          <w:szCs w:val="22"/>
        </w:rPr>
        <w:t xml:space="preserve">The FAR is reconciled to the balance sheet (CoA 1400, 1500) monthly as part of the financial close. Annual physical verification of all assets is conducted before fiscal year-end by the external accountant.</w:t>
      </w:r>
    </w:p>
    <w:p>
      <w:pPr>
        <w:spacing w:after="120" w:before="240"/>
      </w:pPr>
      <w:r>
        <w:rPr>
          <w:rFonts w:ascii="Arial" w:cs="Arial" w:eastAsia="Arial" w:hAnsi="Arial"/>
          <w:b/>
          <w:bCs/>
          <w:color w:val="2D6E8A"/>
          <w:sz w:val="28"/>
          <w:szCs w:val="28"/>
        </w:rPr>
        <w:t xml:space="preserve">8. Disposal &amp; Write-Off Procedure</w:t>
      </w:r>
    </w:p>
    <w:p>
      <w:pPr>
        <w:spacing w:after="60" w:before="60"/>
      </w:pPr>
      <w:r>
        <w:rPr>
          <w:rFonts w:ascii="Arial" w:cs="Arial" w:eastAsia="Arial" w:hAnsi="Arial"/>
          <w:color w:val="0A0E12"/>
          <w:sz w:val="22"/>
          <w:szCs w:val="22"/>
        </w:rPr>
        <w:t xml:space="preserve">Disposal of any capitalized asset requires Founder approval regardless of net book value. Proceeds from sale are recorded against the asset's net book value; any resulting gain or loss is recognized in the income statement in the period of disposal. Fully depreciated assets with nil book value are removed from the FAR after the annual physical count confirms disposal. Assets lost to theft or damage are written off with a supporting police report or insurance claim attached to the journal entry.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Fly GACA  ·  Finance  ·  Confidential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2026-05-05T03:34:26.490Z</dcterms:created>
  <dcterms:modified xsi:type="dcterms:W3CDTF">2026-05-05T03:34:26.490Z</dcterms:modified>
</cp:coreProperties>
</file>

<file path=docProps/custom.xml><?xml version="1.0" encoding="utf-8"?>
<Properties xmlns="http://schemas.openxmlformats.org/officeDocument/2006/custom-properties" xmlns:vt="http://schemas.openxmlformats.org/officeDocument/2006/docPropsVTypes"/>
</file>