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2D6E8A" w:val="solid"/>
        <w:spacing w:after="60" w:before="0"/>
        <w:ind w:left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Fly GACA  ·  Strategic &amp; Governance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D6E8A"/>
          <w:sz w:val="52"/>
          <w:szCs w:val="52"/>
        </w:rPr>
        <w:t xml:space="preserve">Sub-Processor List &amp; DPA Register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C8A04A"/>
          <w:sz w:val="22"/>
          <w:szCs w:val="22"/>
        </w:rPr>
        <w:t xml:space="preserve">PDPL Compliance  ·  Fly GACA  ·  Strategic &amp; Governance  ·  v1.0  ·  May 2026</w:t>
      </w:r>
    </w:p>
    <w:p>
      <w:pPr>
        <w:spacing w:after="400" w:before="0"/>
      </w:pPr>
      <w:r>
        <w:rPr>
          <w:rFonts w:ascii="Arial" w:cs="Arial" w:eastAsia="Arial" w:hAnsi="Arial"/>
          <w:color w:val="0A0E12"/>
          <w:sz w:val="18"/>
          <w:szCs w:val="18"/>
        </w:rPr>
        <w:t xml:space="preserve">Confidential — Not for Distribution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A0E12"/>
          <w:sz w:val="20"/>
          <w:szCs w:val="20"/>
        </w:rPr>
        <w:t xml:space="preserve">Captain Adel Yahya A. Madkhali  ·  Founder &amp; GACA-Licensed Pilot</w:t>
      </w:r>
    </w:p>
    <w:p>
      <w:pPr>
        <w:spacing w:after="600" w:before="0"/>
      </w:pPr>
      <w:r>
        <w:rPr>
          <w:rFonts w:ascii="Arial" w:cs="Arial" w:eastAsia="Arial" w:hAnsi="Arial"/>
          <w:color w:val="0A0E12"/>
          <w:sz w:val="20"/>
          <w:szCs w:val="20"/>
        </w:rPr>
        <w:t xml:space="preserve">+966 51 096 6969  ·  i@flygaca.com  ·  flygaca.com</w:t>
      </w:r>
    </w:p>
    <w:p>
      <w:pPr>
        <w:pBdr>
          <w:left w:val="thick" w:color="2D6E8A" w:sz="12"/>
        </w:pBdr>
        <w:shd w:color="B5DDC2" w:val="solid"/>
        <w:spacing w:after="180" w:before="120"/>
        <w:ind w:left="200" w:right="200"/>
      </w:pPr>
      <w:r>
        <w:rPr>
          <w:rFonts w:ascii="Arial" w:cs="Arial" w:eastAsia="Arial" w:hAnsi="Arial"/>
          <w:i/>
          <w:iCs/>
          <w:color w:val="0A0E12"/>
          <w:sz w:val="20"/>
          <w:szCs w:val="20"/>
        </w:rPr>
        <w:t xml:space="preserve">  Required by Saudi Arabia's Personal Data Protection Law (PDPL). Keep current at all times. Adding a new sub-processor triggers a 30-day customer notification obligation with an opt-out right. Review quarterly; audit annually.  </w:t>
      </w:r>
    </w:p>
    <w:p>
      <w:pPr>
        <w:pBdr>
          <w:bottom w:val="single" w:color="2D6E8A" w:sz="6"/>
        </w:pBdr>
        <w:spacing w:after="120" w:before="36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1. Purpose &amp; Legal Basis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Fly GACA, as a data controller under PDPL (Royal Decree M/19 dated 09/02/1443H), is required to maintain a record of all sub-processors — third parties that process personal data on behalf of Fly GACA under instruction.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This register satisfies the PDPL requirement to document the lawful basis for data processing, the categories of data processed, and the contractual safeguards in place with each sub-processor. Academy customers have the right to object to new sub-processors within 30 days of notification.</w:t>
      </w:r>
    </w:p>
    <w:p>
      <w:pPr>
        <w:pBdr>
          <w:bottom w:val="single" w:color="2D6E8A" w:sz="6"/>
        </w:pBdr>
        <w:spacing w:after="120" w:before="36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2. Sub-Processor Register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Last updated: May 2026. All sub-processors process data in KSA me-central2 (Dammam) unless otherwise stated.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Sub-Processor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Types Processed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Processing Location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Lawful Basis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DPA in Place?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Last Review</w:t>
            </w:r>
          </w:p>
        </w:tc>
      </w:tr>
      <w:tr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Google Cloud (GCP)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Hosting, compute, Cloud Storage, Firestore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User data, content, telemetry, logs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KSA — me-central2 Dammam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Contract performance; legitimate interest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Yes — executed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May 2026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Google AI (Gemini / Vertex AI)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LLM inference for Captain Adel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Chat queries (PII stripped before inference by design)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KSA — me-central2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Contract performance; legitimate interest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Yes — executed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Moyasar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Payment gateway — subscription &amp; invoice processing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Payment data, customer name, email, billing address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KSA (Moyasar infrastructure)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Contract performance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Yes — executed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May 2026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Firebase Authentication (Google)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User auth — email/password, phone OTP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Email, phone, hashed credentials, auth tokens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KSA — me-central2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Contract performance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Yes — executed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Sentry (error monitoring)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Application error tracking and performance monitoring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Stack traces, device metadata (minimal PII)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TBD — review before activation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Legitimate interest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DPA pending — required before activation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Not yet active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Vercel / Cloudflare CDN edge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Static asset delivery for PWA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Anonymous traffic, ephemeral IP addresses; no personal data in CDN layer by design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Global edge; KSA-origin cache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Legitimate interest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Standard ToS — no personal data processed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Email provider (SendGrid or Postmark)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Transactional email — receipts, password reset, notifications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Email addresses, transactional content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TBD — evaluate at vendor selection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Contract performance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DPA pending — required before activation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Not yet selected</w:t>
            </w:r>
          </w:p>
        </w:tc>
      </w:tr>
    </w:tbl>
    <w:p>
      <w:pPr>
        <w:pBdr>
          <w:bottom w:val="single" w:color="2D6E8A" w:sz="6"/>
        </w:pBdr>
        <w:spacing w:after="120" w:before="36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3. Process for Adding a New Sub-Processor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Step 1 — Internal Assessment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Identify what personal data (if any) the new vendor will process.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Classify the vendor per the Vendor Management Policy.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Conduct a security review for High and Critical vendors.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Step 2 — Contractual Safeguards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Execute a DPA before any personal data is shared.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DPA must include: data types, processing purpose, retention and deletion obligations, security standards, sub-sub-processor list.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Step 3 — Customer Notification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Notify all academy customers (as data processors) of the new sub-processor at least 30 days before processing begins.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Notification method: email to academy admin on record. Subject: 'Fly GACA — Sub-Processor Change Notification'.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Academy customers may object within 30 days. No objection received within 30 days = consent to proceed.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If objection received: pause onboarding and engage the academy. Escalate to legal counsel if unresolved within 14 days.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Step 4 — Register Update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Add the new sub-processor to this document within 7 days of DPA execution.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Update version number and 'Last updated' date.</w:t>
      </w:r>
    </w:p>
    <w:p>
      <w:pPr>
        <w:pBdr>
          <w:bottom w:val="single" w:color="2D6E8A" w:sz="6"/>
        </w:pBdr>
        <w:spacing w:after="120" w:before="36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4. Sub-Processor Removal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When a sub-processor relationship ends, mark the entry as 'Terminated' with the termination date. Retain for 3 years per PDPL record-keeping requirements. Do not delete the row.</w:t>
      </w:r>
    </w:p>
    <w:p>
      <w:pPr>
        <w:pBdr>
          <w:bottom w:val="single" w:color="2D6E8A" w:sz="6"/>
        </w:pBdr>
        <w:spacing w:after="120" w:before="36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5. Annual Review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This register is reviewed by the Founder (or designated Data Protection Coordinator once appointed) quarterly, and comprehensively audited annually. Next comprehensive review: May 2027. Cross-reference: Vendor Management Policy (doc 06 in this folder).</w:t>
      </w:r>
    </w:p>
    <w:p>
      <w:pPr>
        <w:spacing w:after="160"/>
      </w:pPr>
      <w:r>
        <w:rPr>
          <w:sz w:val="22"/>
          <w:szCs w:val="22"/>
        </w:rP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0A0E12"/>
        <w:sz w:val="16"/>
        <w:szCs w:val="16"/>
      </w:rPr>
      <w:t xml:space="preserve">Fly GACA  ·  Strategic  ·  Confidential     Page </w:t>
    </w:r>
    <w:r>
      <w:rPr>
        <w:rFonts w:ascii="Arial" w:cs="Arial" w:eastAsia="Arial" w:hAnsi="Arial"/>
        <w:color w:val="0A0E12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Sub-Processor List &amp; DPA Register</dc:title>
  <dc:creator>Fly GACA</dc:creator>
  <cp:lastModifiedBy>Un-named</cp:lastModifiedBy>
  <cp:revision>1</cp:revision>
  <dcterms:created xsi:type="dcterms:W3CDTF">2026-05-05T06:48:00.451Z</dcterms:created>
  <dcterms:modified xsi:type="dcterms:W3CDTF">2026-05-05T06:48:00.451Z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