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Shareholders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Shareholders Agreement ("SHA") is entered into as of [DATE] by and among:</w:t>
      </w:r>
    </w:p>
    <w:p>
      <w:pPr>
        <w:pStyle w:val="ListParagraph"/>
        <w:numPr>
          <w:ilvl w:val="0"/>
          <w:numId w:val="2"/>
        </w:numPr>
        <w:spacing w:after="40" w:before="40"/>
      </w:pPr>
      <w:r>
        <w:rPr>
          <w:rFonts w:ascii="Arial" w:cs="Arial" w:eastAsia="Arial" w:hAnsi="Arial"/>
          <w:sz w:val="22"/>
          <w:szCs w:val="22"/>
        </w:rPr>
        <w:t xml:space="preserve">BDA Company International (شركة بدع الدولية) (the "Company"), CR No. 7030976893</w:t>
      </w:r>
    </w:p>
    <w:p>
      <w:pPr>
        <w:pStyle w:val="ListParagraph"/>
        <w:numPr>
          <w:ilvl w:val="0"/>
          <w:numId w:val="2"/>
        </w:numPr>
        <w:spacing w:after="40" w:before="40"/>
      </w:pPr>
      <w:r>
        <w:rPr>
          <w:rFonts w:ascii="Arial" w:cs="Arial" w:eastAsia="Arial" w:hAnsi="Arial"/>
          <w:sz w:val="22"/>
          <w:szCs w:val="22"/>
        </w:rPr>
        <w:t xml:space="preserve">Adel Yahya A. Madkhali ("Captain Adel"), Founder — [FOUNDER_SHARES] shares ([FOUNDER_PERCENT]%)</w:t>
      </w:r>
    </w:p>
    <w:p>
      <w:pPr>
        <w:pStyle w:val="ListParagraph"/>
        <w:numPr>
          <w:ilvl w:val="0"/>
          <w:numId w:val="2"/>
        </w:numPr>
        <w:spacing w:after="40" w:before="40"/>
      </w:pPr>
      <w:r>
        <w:rPr>
          <w:rFonts w:ascii="Arial" w:cs="Arial" w:eastAsia="Arial" w:hAnsi="Arial"/>
          <w:sz w:val="22"/>
          <w:szCs w:val="22"/>
        </w:rPr>
        <w:t xml:space="preserve">[LEAD_INVESTOR_NAME] (the "Lead Investor") — [INVESTOR_SHARES] shares ([INVESTOR_PERCENT]%)</w:t>
      </w:r>
    </w:p>
    <w:p>
      <w:pPr>
        <w:pStyle w:val="ListParagraph"/>
        <w:numPr>
          <w:ilvl w:val="0"/>
          <w:numId w:val="2"/>
        </w:numPr>
        <w:spacing w:after="40" w:before="40"/>
      </w:pPr>
      <w:r>
        <w:rPr>
          <w:rFonts w:ascii="Arial" w:cs="Arial" w:eastAsia="Arial" w:hAnsi="Arial"/>
          <w:sz w:val="22"/>
          <w:szCs w:val="22"/>
        </w:rPr>
        <w:t xml:space="preserve">[ADDITIONAL_SHAREHOLDERS]</w:t>
      </w:r>
    </w:p>
    <w:p>
      <w:pPr>
        <w:spacing w:after="60" w:before="60"/>
      </w:pPr>
      <w:r>
        <w:rPr>
          <w:rFonts w:ascii="Arial" w:cs="Arial" w:eastAsia="Arial" w:hAnsi="Arial"/>
          <w:sz w:val="22"/>
          <w:szCs w:val="22"/>
        </w:rPr>
        <w:t xml:space="preserve">Each Shareholder details are set out in Schedule 1 (Cap Table).</w:t>
      </w:r>
    </w:p>
    <w:p>
      <w:r>
        <w:br w:type="page"/>
      </w:r>
    </w:p>
    <w:p>
      <w:pPr>
        <w:pStyle w:val="Heading1"/>
        <w:spacing w:after="120" w:before="300"/>
      </w:pPr>
      <w:r>
        <w:rPr>
          <w:rFonts w:ascii="Arial" w:cs="Arial" w:eastAsia="Arial" w:hAnsi="Arial"/>
          <w:b/>
          <w:bCs/>
          <w:color w:val="2D6E8A"/>
          <w:sz w:val="28"/>
          <w:szCs w:val="28"/>
        </w:rPr>
        <w:t xml:space="preserve">2. Capital Structure</w:t>
      </w:r>
    </w:p>
    <w:p>
      <w:pPr>
        <w:pStyle w:val="Heading2"/>
        <w:spacing w:after="80" w:before="200"/>
      </w:pPr>
      <w:r>
        <w:rPr>
          <w:rFonts w:ascii="Arial" w:cs="Arial" w:eastAsia="Arial" w:hAnsi="Arial"/>
          <w:b/>
          <w:bCs/>
          <w:color w:val="0A0E12"/>
          <w:sz w:val="24"/>
          <w:szCs w:val="24"/>
        </w:rPr>
        <w:t xml:space="preserve">2.1 Authorized and Issued Capital</w:t>
      </w:r>
    </w:p>
    <w:p>
      <w:pPr>
        <w:spacing w:after="60" w:before="60"/>
      </w:pPr>
      <w:r>
        <w:rPr>
          <w:rFonts w:ascii="Arial" w:cs="Arial" w:eastAsia="Arial" w:hAnsi="Arial"/>
          <w:sz w:val="22"/>
          <w:szCs w:val="22"/>
        </w:rPr>
        <w:t xml:space="preserve">The Company has authorized capital of [AUTHORIZED_CAPITAL] SAR comprising [TOTAL_SHARES] shares of [PAR_VALUE] SAR each. The fully-diluted cap table as of the Effective Date is in Schedule 1.</w:t>
      </w:r>
    </w:p>
    <w:p>
      <w:pPr>
        <w:pStyle w:val="Heading2"/>
        <w:spacing w:after="80" w:before="200"/>
      </w:pPr>
      <w:r>
        <w:rPr>
          <w:rFonts w:ascii="Arial" w:cs="Arial" w:eastAsia="Arial" w:hAnsi="Arial"/>
          <w:b/>
          <w:bCs/>
          <w:color w:val="0A0E12"/>
          <w:sz w:val="24"/>
          <w:szCs w:val="24"/>
        </w:rPr>
        <w:t xml:space="preserve">2.2 Share Classes</w:t>
      </w:r>
    </w:p>
    <w:p>
      <w:pPr>
        <w:pStyle w:val="ListParagraph"/>
        <w:numPr>
          <w:ilvl w:val="0"/>
          <w:numId w:val="2"/>
        </w:numPr>
        <w:spacing w:after="40" w:before="40"/>
      </w:pPr>
      <w:r>
        <w:rPr>
          <w:rFonts w:ascii="Arial" w:cs="Arial" w:eastAsia="Arial" w:hAnsi="Arial"/>
          <w:sz w:val="22"/>
          <w:szCs w:val="22"/>
        </w:rPr>
        <w:t xml:space="preserve">Ordinary Shares: held by Founder, Future Co-Founder, and ESOP participants</w:t>
      </w:r>
    </w:p>
    <w:p>
      <w:pPr>
        <w:pStyle w:val="ListParagraph"/>
        <w:numPr>
          <w:ilvl w:val="0"/>
          <w:numId w:val="2"/>
        </w:numPr>
        <w:spacing w:after="40" w:before="40"/>
      </w:pPr>
      <w:r>
        <w:rPr>
          <w:rFonts w:ascii="Arial" w:cs="Arial" w:eastAsia="Arial" w:hAnsi="Arial"/>
          <w:sz w:val="22"/>
          <w:szCs w:val="22"/>
        </w:rPr>
        <w:t xml:space="preserve">Preferred Shares (Series Seed): issued to investors via SAFE/convertible note conversion at [VALUATION_CAP] SAR post-money cap</w:t>
      </w:r>
    </w:p>
    <w:p>
      <w:pPr>
        <w:pStyle w:val="ListParagraph"/>
        <w:numPr>
          <w:ilvl w:val="0"/>
          <w:numId w:val="2"/>
        </w:numPr>
        <w:spacing w:after="40" w:before="40"/>
      </w:pPr>
      <w:r>
        <w:rPr>
          <w:rFonts w:ascii="Arial" w:cs="Arial" w:eastAsia="Arial" w:hAnsi="Arial"/>
          <w:sz w:val="22"/>
          <w:szCs w:val="22"/>
        </w:rPr>
        <w:t xml:space="preserve">ESOP Reserve: 10% of fully diluted capital</w:t>
      </w:r>
    </w:p>
    <w:p>
      <w:pPr>
        <w:pStyle w:val="Heading2"/>
        <w:spacing w:after="80" w:before="200"/>
      </w:pPr>
      <w:r>
        <w:rPr>
          <w:rFonts w:ascii="Arial" w:cs="Arial" w:eastAsia="Arial" w:hAnsi="Arial"/>
          <w:b/>
          <w:bCs/>
          <w:color w:val="0A0E12"/>
          <w:sz w:val="24"/>
          <w:szCs w:val="24"/>
        </w:rPr>
        <w:t xml:space="preserve">2.3 Conversion</w:t>
      </w:r>
    </w:p>
    <w:p>
      <w:pPr>
        <w:spacing w:after="60" w:before="60"/>
      </w:pPr>
      <w:r>
        <w:rPr>
          <w:rFonts w:ascii="Arial" w:cs="Arial" w:eastAsia="Arial" w:hAnsi="Arial"/>
          <w:sz w:val="22"/>
          <w:szCs w:val="22"/>
        </w:rPr>
        <w:t xml:space="preserve">Preferred Shares convert to Ordinary Shares automatically upon a Qualified IPO or at election of holders of 75% of Preferred Shares.</w:t>
      </w:r>
    </w:p>
    <w:p>
      <w:r>
        <w:br w:type="page"/>
      </w:r>
    </w:p>
    <w:p>
      <w:pPr>
        <w:pStyle w:val="Heading1"/>
        <w:spacing w:after="120" w:before="300"/>
      </w:pPr>
      <w:r>
        <w:rPr>
          <w:rFonts w:ascii="Arial" w:cs="Arial" w:eastAsia="Arial" w:hAnsi="Arial"/>
          <w:b/>
          <w:bCs/>
          <w:color w:val="2D6E8A"/>
          <w:sz w:val="28"/>
          <w:szCs w:val="28"/>
        </w:rPr>
        <w:t xml:space="preserve">3. Transfer Restrictions</w:t>
      </w:r>
    </w:p>
    <w:p>
      <w:pPr>
        <w:pStyle w:val="Heading2"/>
        <w:spacing w:after="80" w:before="200"/>
      </w:pPr>
      <w:r>
        <w:rPr>
          <w:rFonts w:ascii="Arial" w:cs="Arial" w:eastAsia="Arial" w:hAnsi="Arial"/>
          <w:b/>
          <w:bCs/>
          <w:color w:val="0A0E12"/>
          <w:sz w:val="24"/>
          <w:szCs w:val="24"/>
        </w:rPr>
        <w:t xml:space="preserve">3.1 Lock-Up</w:t>
      </w:r>
    </w:p>
    <w:p>
      <w:pPr>
        <w:spacing w:after="60" w:before="60"/>
      </w:pPr>
      <w:r>
        <w:rPr>
          <w:rFonts w:ascii="Arial" w:cs="Arial" w:eastAsia="Arial" w:hAnsi="Arial"/>
          <w:sz w:val="22"/>
          <w:szCs w:val="22"/>
        </w:rPr>
        <w:t xml:space="preserve">No Shareholder may transfer shares during [LOCK_UP_MONTHS] months from the Effective Date without written consent of all Shareholders.</w:t>
      </w:r>
    </w:p>
    <w:p>
      <w:pPr>
        <w:pStyle w:val="Heading2"/>
        <w:spacing w:after="80" w:before="200"/>
      </w:pPr>
      <w:r>
        <w:rPr>
          <w:rFonts w:ascii="Arial" w:cs="Arial" w:eastAsia="Arial" w:hAnsi="Arial"/>
          <w:b/>
          <w:bCs/>
          <w:color w:val="0A0E12"/>
          <w:sz w:val="24"/>
          <w:szCs w:val="24"/>
        </w:rPr>
        <w:t xml:space="preserve">3.2 Right of First Refusal (ROFR)</w:t>
      </w:r>
    </w:p>
    <w:p>
      <w:pPr>
        <w:spacing w:after="60" w:before="60"/>
      </w:pPr>
      <w:r>
        <w:rPr>
          <w:rFonts w:ascii="Arial" w:cs="Arial" w:eastAsia="Arial" w:hAnsi="Arial"/>
          <w:sz w:val="22"/>
          <w:szCs w:val="22"/>
        </w:rPr>
        <w:t xml:space="preserve">Before any transfer to a third party, the Selling Shareholder must first offer shares to the Company, then to remaining Shareholders pro rata. Acceptance within twenty (20) business days of notice.</w:t>
      </w:r>
    </w:p>
    <w:p>
      <w:pPr>
        <w:pStyle w:val="Heading2"/>
        <w:spacing w:after="80" w:before="200"/>
      </w:pPr>
      <w:r>
        <w:rPr>
          <w:rFonts w:ascii="Arial" w:cs="Arial" w:eastAsia="Arial" w:hAnsi="Arial"/>
          <w:b/>
          <w:bCs/>
          <w:color w:val="0A0E12"/>
          <w:sz w:val="24"/>
          <w:szCs w:val="24"/>
        </w:rPr>
        <w:t xml:space="preserve">3.3 Tag-Along Right</w:t>
      </w:r>
    </w:p>
    <w:p>
      <w:pPr>
        <w:spacing w:after="60" w:before="60"/>
      </w:pPr>
      <w:r>
        <w:rPr>
          <w:rFonts w:ascii="Arial" w:cs="Arial" w:eastAsia="Arial" w:hAnsi="Arial"/>
          <w:sz w:val="22"/>
          <w:szCs w:val="22"/>
        </w:rPr>
        <w:t xml:space="preserve">If the Founder proposes to transfer more than [TAG_THRESHOLD]% of the Company, each other Shareholder may participate pro rata on the same terms.</w:t>
      </w:r>
    </w:p>
    <w:p>
      <w:pPr>
        <w:pStyle w:val="Heading2"/>
        <w:spacing w:after="80" w:before="200"/>
      </w:pPr>
      <w:r>
        <w:rPr>
          <w:rFonts w:ascii="Arial" w:cs="Arial" w:eastAsia="Arial" w:hAnsi="Arial"/>
          <w:b/>
          <w:bCs/>
          <w:color w:val="0A0E12"/>
          <w:sz w:val="24"/>
          <w:szCs w:val="24"/>
        </w:rPr>
        <w:t xml:space="preserve">3.4 Drag-Along Right (75% Threshold)</w:t>
      </w:r>
    </w:p>
    <w:p>
      <w:pPr>
        <w:spacing w:after="60" w:before="60"/>
      </w:pPr>
      <w:r>
        <w:rPr>
          <w:rFonts w:ascii="Arial" w:cs="Arial" w:eastAsia="Arial" w:hAnsi="Arial"/>
          <w:sz w:val="22"/>
          <w:szCs w:val="22"/>
        </w:rPr>
        <w:t xml:space="preserve">If Shareholders holding at least 75% approve a bona fide third-party acquisition, all remaining Shareholders must sell on the same terms, provided each Shareholder receives at least its liquidation preference and the Lead Investor has approved if the price is below [MINIMUM_DRAG_MULTIPLE]x original investment.</w:t>
      </w:r>
    </w:p>
    <w:p>
      <w:pPr>
        <w:pStyle w:val="Heading2"/>
        <w:spacing w:after="80" w:before="200"/>
      </w:pPr>
      <w:r>
        <w:rPr>
          <w:rFonts w:ascii="Arial" w:cs="Arial" w:eastAsia="Arial" w:hAnsi="Arial"/>
          <w:b/>
          <w:bCs/>
          <w:color w:val="0A0E12"/>
          <w:sz w:val="24"/>
          <w:szCs w:val="24"/>
        </w:rPr>
        <w:t xml:space="preserve">3.5 Permitted Transfers</w:t>
      </w:r>
    </w:p>
    <w:p>
      <w:pPr>
        <w:spacing w:after="60" w:before="60"/>
      </w:pPr>
      <w:r>
        <w:rPr>
          <w:rFonts w:ascii="Arial" w:cs="Arial" w:eastAsia="Arial" w:hAnsi="Arial"/>
          <w:sz w:val="22"/>
          <w:szCs w:val="22"/>
        </w:rPr>
        <w:t xml:space="preserve">Transfers to affiliates, family trusts, or successor entities permitted without ROFR, provided the transferee executes a deed of adherence.</w:t>
      </w:r>
    </w:p>
    <w:p>
      <w:r>
        <w:br w:type="page"/>
      </w:r>
    </w:p>
    <w:p>
      <w:pPr>
        <w:pStyle w:val="Heading1"/>
        <w:spacing w:after="120" w:before="300"/>
      </w:pPr>
      <w:r>
        <w:rPr>
          <w:rFonts w:ascii="Arial" w:cs="Arial" w:eastAsia="Arial" w:hAnsi="Arial"/>
          <w:b/>
          <w:bCs/>
          <w:color w:val="2D6E8A"/>
          <w:sz w:val="28"/>
          <w:szCs w:val="28"/>
        </w:rPr>
        <w:t xml:space="preserve">4. Board Composition</w:t>
      </w:r>
    </w:p>
    <w:p>
      <w:pPr>
        <w:pStyle w:val="ListParagraph"/>
        <w:numPr>
          <w:ilvl w:val="0"/>
          <w:numId w:val="2"/>
        </w:numPr>
        <w:spacing w:after="40" w:before="40"/>
      </w:pPr>
      <w:r>
        <w:rPr>
          <w:rFonts w:ascii="Arial" w:cs="Arial" w:eastAsia="Arial" w:hAnsi="Arial"/>
          <w:sz w:val="22"/>
          <w:szCs w:val="22"/>
        </w:rPr>
        <w:t xml:space="preserve">One (1) Founder director seat: designated by Captain Adel</w:t>
      </w:r>
    </w:p>
    <w:p>
      <w:pPr>
        <w:pStyle w:val="ListParagraph"/>
        <w:numPr>
          <w:ilvl w:val="0"/>
          <w:numId w:val="2"/>
        </w:numPr>
        <w:spacing w:after="40" w:before="40"/>
      </w:pPr>
      <w:r>
        <w:rPr>
          <w:rFonts w:ascii="Arial" w:cs="Arial" w:eastAsia="Arial" w:hAnsi="Arial"/>
          <w:sz w:val="22"/>
          <w:szCs w:val="22"/>
        </w:rPr>
        <w:t xml:space="preserve">One (1) Lead Investor observer seat: conditional upon holding at least 1,000,000 SAR in shares or convertible instruments</w:t>
      </w:r>
    </w:p>
    <w:p>
      <w:pPr>
        <w:spacing w:after="60" w:before="60"/>
      </w:pPr>
      <w:r>
        <w:rPr>
          <w:rFonts w:ascii="Arial" w:cs="Arial" w:eastAsia="Arial" w:hAnsi="Arial"/>
          <w:sz w:val="22"/>
          <w:szCs w:val="22"/>
        </w:rPr>
        <w:t xml:space="preserve">Board shall meet quarterly. Written resolutions valid if signed by all directors. Observer receives board materials five (5) business days before each meeting.</w:t>
      </w:r>
    </w:p>
    <w:p>
      <w:r>
        <w:br w:type="page"/>
      </w:r>
    </w:p>
    <w:p>
      <w:pPr>
        <w:pStyle w:val="Heading1"/>
        <w:spacing w:after="120" w:before="300"/>
      </w:pPr>
      <w:r>
        <w:rPr>
          <w:rFonts w:ascii="Arial" w:cs="Arial" w:eastAsia="Arial" w:hAnsi="Arial"/>
          <w:b/>
          <w:bCs/>
          <w:color w:val="2D6E8A"/>
          <w:sz w:val="28"/>
          <w:szCs w:val="28"/>
        </w:rPr>
        <w:t xml:space="preserve">5. Reserved Matters — 75% Supermajority Required</w:t>
      </w:r>
    </w:p>
    <w:p>
      <w:pPr>
        <w:pStyle w:val="ListParagraph"/>
        <w:numPr>
          <w:ilvl w:val="0"/>
          <w:numId w:val="2"/>
        </w:numPr>
        <w:spacing w:after="40" w:before="40"/>
      </w:pPr>
      <w:r>
        <w:rPr>
          <w:rFonts w:ascii="Arial" w:cs="Arial" w:eastAsia="Arial" w:hAnsi="Arial"/>
          <w:sz w:val="22"/>
          <w:szCs w:val="22"/>
        </w:rPr>
        <w:t xml:space="preserve">Any issuance, repurchase, or cancellation of shares or convertible instruments</w:t>
      </w:r>
    </w:p>
    <w:p>
      <w:pPr>
        <w:pStyle w:val="ListParagraph"/>
        <w:numPr>
          <w:ilvl w:val="0"/>
          <w:numId w:val="2"/>
        </w:numPr>
        <w:spacing w:after="40" w:before="40"/>
      </w:pPr>
      <w:r>
        <w:rPr>
          <w:rFonts w:ascii="Arial" w:cs="Arial" w:eastAsia="Arial" w:hAnsi="Arial"/>
          <w:sz w:val="22"/>
          <w:szCs w:val="22"/>
        </w:rPr>
        <w:t xml:space="preserve">Any merger, acquisition, reorganization, or asset disposal exceeding 20% of total asset value</w:t>
      </w:r>
    </w:p>
    <w:p>
      <w:pPr>
        <w:pStyle w:val="ListParagraph"/>
        <w:numPr>
          <w:ilvl w:val="0"/>
          <w:numId w:val="2"/>
        </w:numPr>
        <w:spacing w:after="40" w:before="40"/>
      </w:pPr>
      <w:r>
        <w:rPr>
          <w:rFonts w:ascii="Arial" w:cs="Arial" w:eastAsia="Arial" w:hAnsi="Arial"/>
          <w:sz w:val="22"/>
          <w:szCs w:val="22"/>
        </w:rPr>
        <w:t xml:space="preserve">Incurrence of debt exceeding 500,000 SAR in any twelve-month period</w:t>
      </w:r>
    </w:p>
    <w:p>
      <w:pPr>
        <w:pStyle w:val="ListParagraph"/>
        <w:numPr>
          <w:ilvl w:val="0"/>
          <w:numId w:val="2"/>
        </w:numPr>
        <w:spacing w:after="40" w:before="40"/>
      </w:pPr>
      <w:r>
        <w:rPr>
          <w:rFonts w:ascii="Arial" w:cs="Arial" w:eastAsia="Arial" w:hAnsi="Arial"/>
          <w:sz w:val="22"/>
          <w:szCs w:val="22"/>
        </w:rPr>
        <w:t xml:space="preserve">Compensation exceeding 30,000 SAR per month to any individual</w:t>
      </w:r>
    </w:p>
    <w:p>
      <w:pPr>
        <w:pStyle w:val="ListParagraph"/>
        <w:numPr>
          <w:ilvl w:val="0"/>
          <w:numId w:val="2"/>
        </w:numPr>
        <w:spacing w:after="40" w:before="40"/>
      </w:pPr>
      <w:r>
        <w:rPr>
          <w:rFonts w:ascii="Arial" w:cs="Arial" w:eastAsia="Arial" w:hAnsi="Arial"/>
          <w:sz w:val="22"/>
          <w:szCs w:val="22"/>
        </w:rPr>
        <w:t xml:space="preserve">Appointment or removal of the CEO or equivalent senior officer</w:t>
      </w:r>
    </w:p>
    <w:p>
      <w:pPr>
        <w:pStyle w:val="ListParagraph"/>
        <w:numPr>
          <w:ilvl w:val="0"/>
          <w:numId w:val="2"/>
        </w:numPr>
        <w:spacing w:after="40" w:before="40"/>
      </w:pPr>
      <w:r>
        <w:rPr>
          <w:rFonts w:ascii="Arial" w:cs="Arial" w:eastAsia="Arial" w:hAnsi="Arial"/>
          <w:sz w:val="22"/>
          <w:szCs w:val="22"/>
        </w:rPr>
        <w:t xml:space="preserve">Amendment to articles of association, this Agreement, or the Founders Agreement</w:t>
      </w:r>
    </w:p>
    <w:p>
      <w:pPr>
        <w:pStyle w:val="ListParagraph"/>
        <w:numPr>
          <w:ilvl w:val="0"/>
          <w:numId w:val="2"/>
        </w:numPr>
        <w:spacing w:after="40" w:before="40"/>
      </w:pPr>
      <w:r>
        <w:rPr>
          <w:rFonts w:ascii="Arial" w:cs="Arial" w:eastAsia="Arial" w:hAnsi="Arial"/>
          <w:sz w:val="22"/>
          <w:szCs w:val="22"/>
        </w:rPr>
        <w:t xml:space="preserve">Declaration or payment of dividends</w:t>
      </w:r>
    </w:p>
    <w:p>
      <w:pPr>
        <w:pStyle w:val="ListParagraph"/>
        <w:numPr>
          <w:ilvl w:val="0"/>
          <w:numId w:val="2"/>
        </w:numPr>
        <w:spacing w:after="40" w:before="40"/>
      </w:pPr>
      <w:r>
        <w:rPr>
          <w:rFonts w:ascii="Arial" w:cs="Arial" w:eastAsia="Arial" w:hAnsi="Arial"/>
          <w:sz w:val="22"/>
          <w:szCs w:val="22"/>
        </w:rPr>
        <w:t xml:space="preserve">Establishment of subsidiaries, joint ventures, or material partnerships</w:t>
      </w:r>
    </w:p>
    <w:p>
      <w:pPr>
        <w:pStyle w:val="ListParagraph"/>
        <w:numPr>
          <w:ilvl w:val="0"/>
          <w:numId w:val="2"/>
        </w:numPr>
        <w:spacing w:after="40" w:before="40"/>
      </w:pPr>
      <w:r>
        <w:rPr>
          <w:rFonts w:ascii="Arial" w:cs="Arial" w:eastAsia="Arial" w:hAnsi="Arial"/>
          <w:sz w:val="22"/>
          <w:szCs w:val="22"/>
        </w:rPr>
        <w:t xml:space="preserve">Initiation of insolvency proceedings or voluntary winding up</w:t>
      </w:r>
    </w:p>
    <w:p>
      <w:pPr>
        <w:pStyle w:val="ListParagraph"/>
        <w:numPr>
          <w:ilvl w:val="0"/>
          <w:numId w:val="2"/>
        </w:numPr>
        <w:spacing w:after="40" w:before="40"/>
      </w:pPr>
      <w:r>
        <w:rPr>
          <w:rFonts w:ascii="Arial" w:cs="Arial" w:eastAsia="Arial" w:hAnsi="Arial"/>
          <w:sz w:val="22"/>
          <w:szCs w:val="22"/>
        </w:rPr>
        <w:t xml:space="preserve">Any related-party transaction not on arm-length terms</w:t>
      </w:r>
    </w:p>
    <w:p>
      <w:r>
        <w:br w:type="page"/>
      </w:r>
    </w:p>
    <w:p>
      <w:pPr>
        <w:pStyle w:val="Heading1"/>
        <w:spacing w:after="120" w:before="300"/>
      </w:pPr>
      <w:r>
        <w:rPr>
          <w:rFonts w:ascii="Arial" w:cs="Arial" w:eastAsia="Arial" w:hAnsi="Arial"/>
          <w:b/>
          <w:bCs/>
          <w:color w:val="2D6E8A"/>
          <w:sz w:val="28"/>
          <w:szCs w:val="28"/>
        </w:rPr>
        <w:t xml:space="preserve">6. Pre-Emptive Rights</w:t>
      </w:r>
    </w:p>
    <w:p>
      <w:pPr>
        <w:spacing w:after="60" w:before="60"/>
      </w:pPr>
      <w:r>
        <w:rPr>
          <w:rFonts w:ascii="Arial" w:cs="Arial" w:eastAsia="Arial" w:hAnsi="Arial"/>
          <w:sz w:val="22"/>
          <w:szCs w:val="22"/>
        </w:rPr>
        <w:t xml:space="preserve">Each Shareholder has the right to purchase its pro-rata share of any new issuance (other than ESOP grants) at the same price and terms. Notice at least twenty (20) business days in advance. Non-exercise within that period constitutes waiver for that issuance.</w:t>
      </w:r>
    </w:p>
    <w:p>
      <w:r>
        <w:br w:type="page"/>
      </w:r>
    </w:p>
    <w:p>
      <w:pPr>
        <w:pStyle w:val="Heading1"/>
        <w:spacing w:after="120" w:before="300"/>
      </w:pPr>
      <w:r>
        <w:rPr>
          <w:rFonts w:ascii="Arial" w:cs="Arial" w:eastAsia="Arial" w:hAnsi="Arial"/>
          <w:b/>
          <w:bCs/>
          <w:color w:val="2D6E8A"/>
          <w:sz w:val="28"/>
          <w:szCs w:val="28"/>
        </w:rPr>
        <w:t xml:space="preserve">7. Anti-Dilution — Broad-Based Weighted Average</w:t>
      </w:r>
    </w:p>
    <w:p>
      <w:pPr>
        <w:spacing w:after="60" w:before="60"/>
      </w:pPr>
      <w:r>
        <w:rPr>
          <w:rFonts w:ascii="Arial" w:cs="Arial" w:eastAsia="Arial" w:hAnsi="Arial"/>
          <w:sz w:val="22"/>
          <w:szCs w:val="22"/>
        </w:rPr>
        <w:t xml:space="preserve">Preferred Shares carry broad-based weighted average anti-dilution. In a down round:</w:t>
      </w:r>
    </w:p>
    <w:p>
      <w:pPr>
        <w:spacing w:after="60" w:before="60"/>
      </w:pPr>
      <w:r>
        <w:rPr>
          <w:rFonts w:ascii="Arial" w:cs="Arial" w:eastAsia="Arial" w:hAnsi="Arial"/>
          <w:sz w:val="22"/>
          <w:szCs w:val="22"/>
        </w:rPr>
        <w:t xml:space="preserve">New Conversion Price = (A x B + C) / (A + D)</w:t>
      </w:r>
    </w:p>
    <w:p>
      <w:pPr>
        <w:spacing w:after="60" w:before="60"/>
      </w:pPr>
      <w:r>
        <w:rPr>
          <w:rFonts w:ascii="Arial" w:cs="Arial" w:eastAsia="Arial" w:hAnsi="Arial"/>
          <w:sz w:val="22"/>
          <w:szCs w:val="22"/>
        </w:rPr>
        <w:t xml:space="preserve">A = outstanding shares (fully diluted pre-round); B = current conversion price; C = aggregate new consideration; D = new shares issued.</w:t>
      </w:r>
    </w:p>
    <w:p>
      <w:pPr>
        <w:spacing w:after="60" w:before="60"/>
      </w:pPr>
      <w:r>
        <w:rPr>
          <w:rFonts w:ascii="Arial" w:cs="Arial" w:eastAsia="Arial" w:hAnsi="Arial"/>
          <w:sz w:val="22"/>
          <w:szCs w:val="22"/>
        </w:rPr>
        <w:t xml:space="preserve">Exceptions: ESOP grants within authorized 10% pool; conversion of existing instruments; Supermajority-approved acquisition consideration.</w:t>
      </w:r>
    </w:p>
    <w:p>
      <w:r>
        <w:br w:type="page"/>
      </w:r>
    </w:p>
    <w:p>
      <w:pPr>
        <w:pStyle w:val="Heading1"/>
        <w:spacing w:after="120" w:before="300"/>
      </w:pPr>
      <w:r>
        <w:rPr>
          <w:rFonts w:ascii="Arial" w:cs="Arial" w:eastAsia="Arial" w:hAnsi="Arial"/>
          <w:b/>
          <w:bCs/>
          <w:color w:val="2D6E8A"/>
          <w:sz w:val="28"/>
          <w:szCs w:val="28"/>
        </w:rPr>
        <w:t xml:space="preserve">8. Liquidation Preference — 1x Non-Participating</w:t>
      </w:r>
    </w:p>
    <w:p>
      <w:pPr>
        <w:spacing w:after="60" w:before="60"/>
      </w:pPr>
      <w:r>
        <w:rPr>
          <w:rFonts w:ascii="Arial" w:cs="Arial" w:eastAsia="Arial" w:hAnsi="Arial"/>
          <w:sz w:val="22"/>
          <w:szCs w:val="22"/>
        </w:rPr>
        <w:t xml:space="preserve">Upon Liquidation Event, Preferred Shareholders receive 1x their original investment per share before any distribution to Ordinary Shareholders. Remaining proceeds distributed pro rata among Ordinary Shareholders.</w:t>
      </w:r>
    </w:p>
    <w:p>
      <w:pPr>
        <w:spacing w:after="60" w:before="60"/>
      </w:pPr>
      <w:r>
        <w:rPr>
          <w:rFonts w:ascii="Arial" w:cs="Arial" w:eastAsia="Arial" w:hAnsi="Arial"/>
          <w:sz w:val="22"/>
          <w:szCs w:val="22"/>
        </w:rPr>
        <w:t xml:space="preserve">A merger or acquisition is deemed a Liquidation Event unless 75% of Preferred Shareholders elect otherwise.</w:t>
      </w:r>
    </w:p>
    <w:p>
      <w:r>
        <w:br w:type="page"/>
      </w:r>
    </w:p>
    <w:p>
      <w:pPr>
        <w:pStyle w:val="Heading1"/>
        <w:spacing w:after="120" w:before="300"/>
      </w:pPr>
      <w:r>
        <w:rPr>
          <w:rFonts w:ascii="Arial" w:cs="Arial" w:eastAsia="Arial" w:hAnsi="Arial"/>
          <w:b/>
          <w:bCs/>
          <w:color w:val="2D6E8A"/>
          <w:sz w:val="28"/>
          <w:szCs w:val="28"/>
        </w:rPr>
        <w:t xml:space="preserve">9. Information Rights</w:t>
      </w:r>
    </w:p>
    <w:p>
      <w:pPr>
        <w:pStyle w:val="Heading2"/>
        <w:spacing w:after="80" w:before="200"/>
      </w:pPr>
      <w:r>
        <w:rPr>
          <w:rFonts w:ascii="Arial" w:cs="Arial" w:eastAsia="Arial" w:hAnsi="Arial"/>
          <w:b/>
          <w:bCs/>
          <w:color w:val="0A0E12"/>
          <w:sz w:val="24"/>
          <w:szCs w:val="24"/>
        </w:rPr>
        <w:t xml:space="preserve">9.1 Monthly KPIs (within 15 days of month end)</w:t>
      </w:r>
    </w:p>
    <w:p>
      <w:pPr>
        <w:pStyle w:val="ListParagraph"/>
        <w:numPr>
          <w:ilvl w:val="0"/>
          <w:numId w:val="2"/>
        </w:numPr>
        <w:spacing w:after="40" w:before="40"/>
      </w:pPr>
      <w:r>
        <w:rPr>
          <w:rFonts w:ascii="Arial" w:cs="Arial" w:eastAsia="Arial" w:hAnsi="Arial"/>
          <w:sz w:val="22"/>
          <w:szCs w:val="22"/>
        </w:rPr>
        <w:t xml:space="preserve">Registered users, active subscribers, MRR, churn rate, CAC, and burn rate</w:t>
      </w:r>
    </w:p>
    <w:p>
      <w:pPr>
        <w:pStyle w:val="Heading2"/>
        <w:spacing w:after="80" w:before="200"/>
      </w:pPr>
      <w:r>
        <w:rPr>
          <w:rFonts w:ascii="Arial" w:cs="Arial" w:eastAsia="Arial" w:hAnsi="Arial"/>
          <w:b/>
          <w:bCs/>
          <w:color w:val="0A0E12"/>
          <w:sz w:val="24"/>
          <w:szCs w:val="24"/>
        </w:rPr>
        <w:t xml:space="preserve">9.2 Quarterly Financials (within 30 days of quarter end)</w:t>
      </w:r>
    </w:p>
    <w:p>
      <w:pPr>
        <w:pStyle w:val="ListParagraph"/>
        <w:numPr>
          <w:ilvl w:val="0"/>
          <w:numId w:val="2"/>
        </w:numPr>
        <w:spacing w:after="40" w:before="40"/>
      </w:pPr>
      <w:r>
        <w:rPr>
          <w:rFonts w:ascii="Arial" w:cs="Arial" w:eastAsia="Arial" w:hAnsi="Arial"/>
          <w:sz w:val="22"/>
          <w:szCs w:val="22"/>
        </w:rPr>
        <w:t xml:space="preserve">Unaudited P&amp;L, balance sheet, cash flow, and written operational update</w:t>
      </w:r>
    </w:p>
    <w:p>
      <w:pPr>
        <w:pStyle w:val="Heading2"/>
        <w:spacing w:after="80" w:before="200"/>
      </w:pPr>
      <w:r>
        <w:rPr>
          <w:rFonts w:ascii="Arial" w:cs="Arial" w:eastAsia="Arial" w:hAnsi="Arial"/>
          <w:b/>
          <w:bCs/>
          <w:color w:val="0A0E12"/>
          <w:sz w:val="24"/>
          <w:szCs w:val="24"/>
        </w:rPr>
        <w:t xml:space="preserve">9.3 Annual Audited Accounts (within 90 days of year end)</w:t>
      </w:r>
    </w:p>
    <w:p>
      <w:pPr>
        <w:spacing w:after="60" w:before="60"/>
      </w:pPr>
      <w:r>
        <w:rPr>
          <w:rFonts w:ascii="Arial" w:cs="Arial" w:eastAsia="Arial" w:hAnsi="Arial"/>
          <w:sz w:val="22"/>
          <w:szCs w:val="22"/>
        </w:rPr>
        <w:t xml:space="preserve">Audited financial statements under Saudi Accounting Standards (SAS) by a licensed Saudi auditor.</w:t>
      </w:r>
    </w:p>
    <w:p>
      <w:pPr>
        <w:pStyle w:val="Heading2"/>
        <w:spacing w:after="80" w:before="200"/>
      </w:pPr>
      <w:r>
        <w:rPr>
          <w:rFonts w:ascii="Arial" w:cs="Arial" w:eastAsia="Arial" w:hAnsi="Arial"/>
          <w:b/>
          <w:bCs/>
          <w:color w:val="0A0E12"/>
          <w:sz w:val="24"/>
          <w:szCs w:val="24"/>
        </w:rPr>
        <w:t xml:space="preserve">9.4 Inspection Rights</w:t>
      </w:r>
    </w:p>
    <w:p>
      <w:pPr>
        <w:spacing w:after="60" w:before="60"/>
      </w:pPr>
      <w:r>
        <w:rPr>
          <w:rFonts w:ascii="Arial" w:cs="Arial" w:eastAsia="Arial" w:hAnsi="Arial"/>
          <w:sz w:val="22"/>
          <w:szCs w:val="22"/>
        </w:rPr>
        <w:t xml:space="preserve">Shareholders with information rights may inspect books upon fifteen (15) business days written notice at their own expense.</w:t>
      </w:r>
    </w:p>
    <w:p>
      <w:r>
        <w:br w:type="page"/>
      </w:r>
    </w:p>
    <w:p>
      <w:pPr>
        <w:pStyle w:val="Heading1"/>
        <w:spacing w:after="120" w:before="300"/>
      </w:pPr>
      <w:r>
        <w:rPr>
          <w:rFonts w:ascii="Arial" w:cs="Arial" w:eastAsia="Arial" w:hAnsi="Arial"/>
          <w:b/>
          <w:bCs/>
          <w:color w:val="2D6E8A"/>
          <w:sz w:val="28"/>
          <w:szCs w:val="28"/>
        </w:rPr>
        <w:t xml:space="preserve">10. Confidentiality</w:t>
      </w:r>
    </w:p>
    <w:p>
      <w:pPr>
        <w:spacing w:after="60" w:before="60"/>
      </w:pPr>
      <w:r>
        <w:rPr>
          <w:rFonts w:ascii="Arial" w:cs="Arial" w:eastAsia="Arial" w:hAnsi="Arial"/>
          <w:sz w:val="22"/>
          <w:szCs w:val="22"/>
        </w:rPr>
        <w:t xml:space="preserve">Each Shareholder shall treat Confidential Information as strictly confidential. Disclosure permitted only to professional advisers on need-to-know basis, as required by law, or to prospective investors bound by equivalent obligations.</w:t>
      </w:r>
    </w:p>
    <w:p>
      <w:r>
        <w:br w:type="page"/>
      </w:r>
    </w:p>
    <w:p>
      <w:pPr>
        <w:pStyle w:val="Heading1"/>
        <w:spacing w:after="120" w:before="300"/>
      </w:pPr>
      <w:r>
        <w:rPr>
          <w:rFonts w:ascii="Arial" w:cs="Arial" w:eastAsia="Arial" w:hAnsi="Arial"/>
          <w:b/>
          <w:bCs/>
          <w:color w:val="2D6E8A"/>
          <w:sz w:val="28"/>
          <w:szCs w:val="28"/>
        </w:rPr>
        <w:t xml:space="preserve">11. Dispute Resolution</w:t>
      </w:r>
    </w:p>
    <w:p>
      <w:pPr>
        <w:spacing w:after="60" w:before="60"/>
      </w:pPr>
      <w:r>
        <w:rPr>
          <w:rFonts w:ascii="Arial" w:cs="Arial" w:eastAsia="Arial" w:hAnsi="Arial"/>
          <w:sz w:val="22"/>
          <w:szCs w:val="22"/>
        </w:rPr>
        <w:t xml:space="preserve">Step 1: Good faith negotiation within 15 days. Step 2: Non-binding SCCA mediation. Step 3: Final binding SCCA arbitration, seat Riyadh, Arabic/English, sole arbitrator.</w:t>
      </w:r>
    </w:p>
    <w:p>
      <w:pPr>
        <w:pStyle w:val="Heading1"/>
        <w:spacing w:after="120" w:before="300"/>
      </w:pPr>
      <w:r>
        <w:rPr>
          <w:rFonts w:ascii="Arial" w:cs="Arial" w:eastAsia="Arial" w:hAnsi="Arial"/>
          <w:b/>
          <w:bCs/>
          <w:color w:val="2D6E8A"/>
          <w:sz w:val="28"/>
          <w:szCs w:val="28"/>
        </w:rPr>
        <w:t xml:space="preserve">12. Governing Law</w:t>
      </w:r>
    </w:p>
    <w:p>
      <w:pPr>
        <w:spacing w:after="60" w:before="60"/>
      </w:pPr>
      <w:r>
        <w:rPr>
          <w:rFonts w:ascii="Arial" w:cs="Arial" w:eastAsia="Arial" w:hAnsi="Arial"/>
          <w:sz w:val="22"/>
          <w:szCs w:val="22"/>
        </w:rPr>
        <w:t xml:space="preserve">Laws of the Kingdom of Saudi Arabia, including Saudi Companies Law (Royal Decree No. M/3).</w:t>
      </w:r>
    </w:p>
    <w:p>
      <w:pPr>
        <w:pStyle w:val="Heading1"/>
        <w:spacing w:after="120" w:before="300"/>
      </w:pPr>
      <w:r>
        <w:rPr>
          <w:rFonts w:ascii="Arial" w:cs="Arial" w:eastAsia="Arial" w:hAnsi="Arial"/>
          <w:b/>
          <w:bCs/>
          <w:color w:val="2D6E8A"/>
          <w:sz w:val="28"/>
          <w:szCs w:val="28"/>
        </w:rPr>
        <w:t xml:space="preserve">13. General Provisions</w:t>
      </w:r>
    </w:p>
    <w:p>
      <w:pPr>
        <w:pStyle w:val="ListParagraph"/>
        <w:numPr>
          <w:ilvl w:val="0"/>
          <w:numId w:val="2"/>
        </w:numPr>
        <w:spacing w:after="40" w:before="40"/>
      </w:pPr>
      <w:r>
        <w:rPr>
          <w:rFonts w:ascii="Arial" w:cs="Arial" w:eastAsia="Arial" w:hAnsi="Arial"/>
          <w:sz w:val="22"/>
          <w:szCs w:val="22"/>
        </w:rPr>
        <w:t xml:space="preserve">Entire Agreement: This SHA together with the Founders Agreement and ESOP Plan constitutes the complete agreement of the Shareholders</w:t>
      </w:r>
    </w:p>
    <w:p>
      <w:pPr>
        <w:pStyle w:val="ListParagraph"/>
        <w:numPr>
          <w:ilvl w:val="0"/>
          <w:numId w:val="2"/>
        </w:numPr>
        <w:spacing w:after="40" w:before="40"/>
      </w:pPr>
      <w:r>
        <w:rPr>
          <w:rFonts w:ascii="Arial" w:cs="Arial" w:eastAsia="Arial" w:hAnsi="Arial"/>
          <w:sz w:val="22"/>
          <w:szCs w:val="22"/>
        </w:rPr>
        <w:t xml:space="preserve">Amendments: Written consent of 75% of Shareholders required</w:t>
      </w:r>
    </w:p>
    <w:p>
      <w:pPr>
        <w:pStyle w:val="ListParagraph"/>
        <w:numPr>
          <w:ilvl w:val="0"/>
          <w:numId w:val="2"/>
        </w:numPr>
        <w:spacing w:after="40" w:before="40"/>
      </w:pPr>
      <w:r>
        <w:rPr>
          <w:rFonts w:ascii="Arial" w:cs="Arial" w:eastAsia="Arial" w:hAnsi="Arial"/>
          <w:sz w:val="22"/>
          <w:szCs w:val="22"/>
        </w:rPr>
        <w:t xml:space="preserve">Counterparts: May be signed in counterparts including electronic means</w:t>
      </w:r>
    </w:p>
    <w:p>
      <w:pPr>
        <w:pStyle w:val="ListParagraph"/>
        <w:numPr>
          <w:ilvl w:val="0"/>
          <w:numId w:val="2"/>
        </w:numPr>
        <w:spacing w:after="40" w:before="40"/>
      </w:pPr>
      <w:r>
        <w:rPr>
          <w:rFonts w:ascii="Arial" w:cs="Arial" w:eastAsia="Arial" w:hAnsi="Arial"/>
          <w:sz w:val="22"/>
          <w:szCs w:val="22"/>
        </w:rPr>
        <w:t xml:space="preserve">Language: English primary; Arabic translation filed with MISA/CR</w:t>
      </w:r>
    </w:p>
    <w:p>
      <w:r>
        <w:br w:type="page"/>
      </w:r>
    </w:p>
    <w:p>
      <w:pPr>
        <w:pStyle w:val="Heading2"/>
        <w:spacing w:after="80" w:before="200"/>
      </w:pPr>
      <w:r>
        <w:rPr>
          <w:rFonts w:ascii="Arial" w:cs="Arial" w:eastAsia="Arial" w:hAnsi="Arial"/>
          <w:b/>
          <w:bCs/>
          <w:color w:val="0A0E12"/>
          <w:sz w:val="24"/>
          <w:szCs w:val="24"/>
        </w:rPr>
        <w:t xml:space="preserve">Schedule 1 — Capitalization Table</w:t>
      </w:r>
    </w:p>
    <w:p>
      <w:pPr>
        <w:spacing w:after="60" w:before="60"/>
      </w:pPr>
      <w:r>
        <w:rPr>
          <w:rFonts w:ascii="Arial" w:cs="Arial" w:eastAsia="Arial" w:hAnsi="Arial"/>
          <w:sz w:val="22"/>
          <w:szCs w:val="22"/>
        </w:rPr>
        <w:t xml:space="preserve">[ATTACH CURRENT CAP TABLE — see Cap Table.xlsx]</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Schedule 2 — SAFE / Convertible Note Terms</w:t>
      </w:r>
    </w:p>
    <w:p>
      <w:pPr>
        <w:spacing w:after="60" w:before="60"/>
      </w:pPr>
      <w:r>
        <w:rPr>
          <w:rFonts w:ascii="Arial" w:cs="Arial" w:eastAsia="Arial" w:hAnsi="Arial"/>
          <w:sz w:val="22"/>
          <w:szCs w:val="22"/>
        </w:rPr>
        <w:t xml:space="preserve">[ATTACH SAFE OR CONVERTIBLE NOTE INSTRUMENT]</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FOUNDER: Adel Yahya A. Madkhali</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LEAD INVESTOR: [INVESTOR_NAME / ENTITY]</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Additional Shareholder: ___________________________  Signature: _______________</w:t>
      </w:r>
    </w:p>
    <w:p>
      <w:r>
        <w:br w:type="page"/>
      </w:r>
    </w:p>
    <w:p>
      <w:pPr>
        <w:pStyle w:val="Heading1"/>
        <w:spacing w:after="120" w:before="300"/>
      </w:pPr>
      <w:r>
        <w:rPr>
          <w:rFonts w:ascii="Arial" w:cs="Arial" w:eastAsia="Arial" w:hAnsi="Arial"/>
          <w:b/>
          <w:bCs/>
          <w:color w:val="2D6E8A"/>
          <w:sz w:val="28"/>
          <w:szCs w:val="28"/>
        </w:rPr>
        <w:t xml:space="preserve">Appendix A — Definitions</w:t>
      </w:r>
    </w:p>
    <w:p>
      <w:pPr>
        <w:spacing w:after="60" w:before="60"/>
      </w:pPr>
      <w:r>
        <w:rPr>
          <w:rFonts w:ascii="Arial" w:cs="Arial" w:eastAsia="Arial" w:hAnsi="Arial"/>
          <w:sz w:val="22"/>
          <w:szCs w:val="22"/>
        </w:rPr>
        <w:t xml:space="preserve">"Affiliate" means any entity directly or indirectly controlling or controlled by a Shareholder, where control means 50%+ voting rights.</w:t>
      </w:r>
    </w:p>
    <w:p>
      <w:pPr>
        <w:spacing w:after="60" w:before="60"/>
      </w:pPr>
      <w:r>
        <w:rPr>
          <w:rFonts w:ascii="Arial" w:cs="Arial" w:eastAsia="Arial" w:hAnsi="Arial"/>
          <w:sz w:val="22"/>
          <w:szCs w:val="22"/>
        </w:rPr>
        <w:t xml:space="preserve">"Cause" means conviction of criminal offence involving moral turpitude; fraud or misappropriation; uncured material breach of this Agreement; or intentional violation of law causing material Company damage.</w:t>
      </w:r>
    </w:p>
    <w:p>
      <w:pPr>
        <w:spacing w:after="60" w:before="60"/>
      </w:pPr>
      <w:r>
        <w:rPr>
          <w:rFonts w:ascii="Arial" w:cs="Arial" w:eastAsia="Arial" w:hAnsi="Arial"/>
          <w:sz w:val="22"/>
          <w:szCs w:val="22"/>
        </w:rPr>
        <w:t xml:space="preserve">"Change of Control" means transfer of 50%+ shares; merger where Company is not surviving entity; or sale of substantially all assets.</w:t>
      </w:r>
    </w:p>
    <w:p>
      <w:pPr>
        <w:spacing w:after="60" w:before="60"/>
      </w:pPr>
      <w:r>
        <w:rPr>
          <w:rFonts w:ascii="Arial" w:cs="Arial" w:eastAsia="Arial" w:hAnsi="Arial"/>
          <w:sz w:val="22"/>
          <w:szCs w:val="22"/>
        </w:rPr>
        <w:t xml:space="preserve">"Fair Market Value" (FMV) means arm-length price determined by Board in good faith or by independent appraiser if disputed.</w:t>
      </w:r>
    </w:p>
    <w:p>
      <w:pPr>
        <w:spacing w:after="60" w:before="60"/>
      </w:pPr>
      <w:r>
        <w:rPr>
          <w:rFonts w:ascii="Arial" w:cs="Arial" w:eastAsia="Arial" w:hAnsi="Arial"/>
          <w:sz w:val="22"/>
          <w:szCs w:val="22"/>
        </w:rPr>
        <w:t xml:space="preserve">"Qualified IPO" means a Company IPO on Tadawul or recognized exchange generating gross proceeds of at least [QUALIFIED_IPO_THRESHOLD] SAR.</w:t>
      </w:r>
    </w:p>
    <w:p>
      <w:pPr>
        <w:spacing w:after="60" w:before="60"/>
      </w:pPr>
      <w:r>
        <w:rPr>
          <w:rFonts w:ascii="Arial" w:cs="Arial" w:eastAsia="Arial" w:hAnsi="Arial"/>
          <w:sz w:val="22"/>
          <w:szCs w:val="22"/>
        </w:rPr>
        <w:t xml:space="preserve">"Liquidation Event" means dissolution, asset sale, or Change of Control treated as liquidation by 75% Preferred Shareholder vote.</w:t>
      </w:r>
    </w:p>
    <w:p>
      <w:r>
        <w:br w:type="page"/>
      </w:r>
    </w:p>
    <w:p>
      <w:pPr>
        <w:pStyle w:val="Heading1"/>
        <w:spacing w:after="120" w:before="300"/>
      </w:pPr>
      <w:r>
        <w:rPr>
          <w:rFonts w:ascii="Arial" w:cs="Arial" w:eastAsia="Arial" w:hAnsi="Arial"/>
          <w:b/>
          <w:bCs/>
          <w:color w:val="2D6E8A"/>
          <w:sz w:val="28"/>
          <w:szCs w:val="28"/>
        </w:rPr>
        <w:t xml:space="preserve">Appendix B — Anti-Dilution Worked Example</w:t>
      </w:r>
    </w:p>
    <w:p>
      <w:pPr>
        <w:spacing w:after="60" w:before="60"/>
      </w:pPr>
      <w:r>
        <w:rPr>
          <w:rFonts w:ascii="Arial" w:cs="Arial" w:eastAsia="Arial" w:hAnsi="Arial"/>
          <w:sz w:val="22"/>
          <w:szCs w:val="22"/>
        </w:rPr>
        <w:t xml:space="preserve">Scenario: 10,000 shares outstanding; Preferred conversion price = 100 SAR. Down round: 2,000 new shares at 60 SAR each. New consideration = 120,000 SAR.</w:t>
      </w:r>
    </w:p>
    <w:p>
      <w:pPr>
        <w:spacing w:after="60" w:before="60"/>
      </w:pPr>
      <w:r>
        <w:rPr>
          <w:rFonts w:ascii="Arial" w:cs="Arial" w:eastAsia="Arial" w:hAnsi="Arial"/>
          <w:sz w:val="22"/>
          <w:szCs w:val="22"/>
        </w:rPr>
        <w:t xml:space="preserve">New Conversion Price = (10,000 x 100 + 120,000) / (10,000 + 2,000) = 1,120,000 / 12,000 = 93.33 SAR.</w:t>
      </w:r>
    </w:p>
    <w:p>
      <w:pPr>
        <w:spacing w:after="60" w:before="60"/>
      </w:pPr>
      <w:r>
        <w:rPr>
          <w:rFonts w:ascii="Arial" w:cs="Arial" w:eastAsia="Arial" w:hAnsi="Arial"/>
          <w:sz w:val="22"/>
          <w:szCs w:val="22"/>
        </w:rPr>
        <w:t xml:space="preserve">Effect: Preferred Shareholders conversion ratio increases, partially offsetting down-round dilution. At IPO or exit, they receive more ordinary shares per Preferred Share than originally contracted.</w:t>
      </w:r>
    </w:p>
    <w:p>
      <w:r>
        <w:br w:type="page"/>
      </w:r>
    </w:p>
    <w:p>
      <w:pPr>
        <w:pStyle w:val="Heading1"/>
        <w:spacing w:after="120" w:before="300"/>
      </w:pPr>
      <w:r>
        <w:rPr>
          <w:rFonts w:ascii="Arial" w:cs="Arial" w:eastAsia="Arial" w:hAnsi="Arial"/>
          <w:b/>
          <w:bCs/>
          <w:color w:val="2D6E8A"/>
          <w:sz w:val="28"/>
          <w:szCs w:val="28"/>
        </w:rPr>
        <w:t xml:space="preserve">Appendix C — Information Rights Threshold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Threshold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Right</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&gt; [INFO_RIGHTS_THRESHOLD]% of shares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KPIs, Quarterly Financials, Annual Audited Accounts, Inspection Rights</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&gt; [ENHANCED_RIGHTS_THRESHOLD]% of shares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above, plus Board observer seat (if Lead Investor)</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All Shareholders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Annual summary report (no financial detail) — within 120 days of year end</w:t>
            </w:r>
          </w:p>
        </w:tc>
      </w:tr>
    </w:tbl>
    <w:p>
      <w:pPr>
        <w:spacing w:after="80" w:before="80"/>
      </w:pPr>
      <w:r>
        <w:t xml:space="preserve"/>
      </w:r>
    </w:p>
    <w:p>
      <w:pPr>
        <w:spacing w:after="60" w:before="60"/>
      </w:pPr>
      <w:r>
        <w:rPr>
          <w:rFonts w:ascii="Arial" w:cs="Arial" w:eastAsia="Arial" w:hAnsi="Arial"/>
          <w:sz w:val="22"/>
          <w:szCs w:val="22"/>
        </w:rPr>
        <w:t xml:space="preserve">Information rights terminate automatically if the Shareholder transfers shares below the applicable threshold.</w:t>
      </w:r>
    </w:p>
    <w:p>
      <w:r>
        <w:br w:type="page"/>
      </w:r>
    </w:p>
    <w:p>
      <w:pPr>
        <w:pStyle w:val="Heading1"/>
        <w:spacing w:after="120" w:before="300"/>
      </w:pPr>
      <w:r>
        <w:rPr>
          <w:rFonts w:ascii="Arial" w:cs="Arial" w:eastAsia="Arial" w:hAnsi="Arial"/>
          <w:b/>
          <w:bCs/>
          <w:color w:val="2D6E8A"/>
          <w:sz w:val="28"/>
          <w:szCs w:val="28"/>
        </w:rPr>
        <w:t xml:space="preserve">Appendix D — SHA Execution Checklist</w:t>
      </w:r>
    </w:p>
    <w:p>
      <w:pPr>
        <w:pStyle w:val="ListParagraph"/>
        <w:numPr>
          <w:ilvl w:val="0"/>
          <w:numId w:val="2"/>
        </w:numPr>
        <w:spacing w:after="40" w:before="40"/>
      </w:pPr>
      <w:r>
        <w:rPr>
          <w:rFonts w:ascii="Arial" w:cs="Arial" w:eastAsia="Arial" w:hAnsi="Arial"/>
          <w:sz w:val="22"/>
          <w:szCs w:val="22"/>
        </w:rPr>
        <w:t xml:space="preserve">All Shareholders identified with correct legal names, registration numbers, and addresses in Schedule 1</w:t>
      </w:r>
    </w:p>
    <w:p>
      <w:pPr>
        <w:pStyle w:val="ListParagraph"/>
        <w:numPr>
          <w:ilvl w:val="0"/>
          <w:numId w:val="2"/>
        </w:numPr>
        <w:spacing w:after="40" w:before="40"/>
      </w:pPr>
      <w:r>
        <w:rPr>
          <w:rFonts w:ascii="Arial" w:cs="Arial" w:eastAsia="Arial" w:hAnsi="Arial"/>
          <w:sz w:val="22"/>
          <w:szCs w:val="22"/>
        </w:rPr>
        <w:t xml:space="preserve">Cap Table (Schedule 1) agreed and signed off by all Shareholders</w:t>
      </w:r>
    </w:p>
    <w:p>
      <w:pPr>
        <w:pStyle w:val="ListParagraph"/>
        <w:numPr>
          <w:ilvl w:val="0"/>
          <w:numId w:val="2"/>
        </w:numPr>
        <w:spacing w:after="40" w:before="40"/>
      </w:pPr>
      <w:r>
        <w:rPr>
          <w:rFonts w:ascii="Arial" w:cs="Arial" w:eastAsia="Arial" w:hAnsi="Arial"/>
          <w:sz w:val="22"/>
          <w:szCs w:val="22"/>
        </w:rPr>
        <w:t xml:space="preserve">SAFE / Convertible Note terms (Schedule 2) accurately reflect all outstanding instruments</w:t>
      </w:r>
    </w:p>
    <w:p>
      <w:pPr>
        <w:pStyle w:val="ListParagraph"/>
        <w:numPr>
          <w:ilvl w:val="0"/>
          <w:numId w:val="2"/>
        </w:numPr>
        <w:spacing w:after="40" w:before="40"/>
      </w:pPr>
      <w:r>
        <w:rPr>
          <w:rFonts w:ascii="Arial" w:cs="Arial" w:eastAsia="Arial" w:hAnsi="Arial"/>
          <w:sz w:val="22"/>
          <w:szCs w:val="22"/>
        </w:rPr>
        <w:t xml:space="preserve">Authorized signatories confirmed to have corporate authority to bind their entities</w:t>
      </w:r>
    </w:p>
    <w:p>
      <w:pPr>
        <w:pStyle w:val="ListParagraph"/>
        <w:numPr>
          <w:ilvl w:val="0"/>
          <w:numId w:val="2"/>
        </w:numPr>
        <w:spacing w:after="40" w:before="40"/>
      </w:pPr>
      <w:r>
        <w:rPr>
          <w:rFonts w:ascii="Arial" w:cs="Arial" w:eastAsia="Arial" w:hAnsi="Arial"/>
          <w:sz w:val="22"/>
          <w:szCs w:val="22"/>
        </w:rPr>
        <w:t xml:space="preserve">Agreement reviewed by Saudi-licensed counsel</w:t>
      </w:r>
    </w:p>
    <w:p>
      <w:pPr>
        <w:pStyle w:val="ListParagraph"/>
        <w:numPr>
          <w:ilvl w:val="0"/>
          <w:numId w:val="2"/>
        </w:numPr>
        <w:spacing w:after="40" w:before="40"/>
      </w:pPr>
      <w:r>
        <w:rPr>
          <w:rFonts w:ascii="Arial" w:cs="Arial" w:eastAsia="Arial" w:hAnsi="Arial"/>
          <w:sz w:val="22"/>
          <w:szCs w:val="22"/>
        </w:rPr>
        <w:t xml:space="preserve">Arabic translation prepared for MISA/CR filing</w:t>
      </w:r>
    </w:p>
    <w:p>
      <w:pPr>
        <w:pStyle w:val="ListParagraph"/>
        <w:numPr>
          <w:ilvl w:val="0"/>
          <w:numId w:val="2"/>
        </w:numPr>
        <w:spacing w:after="40" w:before="40"/>
      </w:pPr>
      <w:r>
        <w:rPr>
          <w:rFonts w:ascii="Arial" w:cs="Arial" w:eastAsia="Arial" w:hAnsi="Arial"/>
          <w:sz w:val="22"/>
          <w:szCs w:val="22"/>
        </w:rPr>
        <w:t xml:space="preserve">All Shareholders retain executed copies</w:t>
      </w:r>
    </w:p>
    <w:p>
      <w:pPr>
        <w:pStyle w:val="ListParagraph"/>
        <w:numPr>
          <w:ilvl w:val="0"/>
          <w:numId w:val="2"/>
        </w:numPr>
        <w:spacing w:after="40" w:before="40"/>
      </w:pPr>
      <w:r>
        <w:rPr>
          <w:rFonts w:ascii="Arial" w:cs="Arial" w:eastAsia="Arial" w:hAnsi="Arial"/>
          <w:sz w:val="22"/>
          <w:szCs w:val="22"/>
        </w:rPr>
        <w:t xml:space="preserve">SHA registered in the Company corporate register</w:t>
      </w:r>
    </w:p>
    <w:p>
      <w:r>
        <w:br w:type="page"/>
      </w:r>
    </w:p>
    <w:p>
      <w:pPr>
        <w:pStyle w:val="Heading1"/>
        <w:spacing w:after="120" w:before="300"/>
      </w:pPr>
      <w:r>
        <w:rPr>
          <w:rFonts w:ascii="Arial" w:cs="Arial" w:eastAsia="Arial" w:hAnsi="Arial"/>
          <w:b/>
          <w:bCs/>
          <w:color w:val="2D6E8A"/>
          <w:sz w:val="28"/>
          <w:szCs w:val="28"/>
        </w:rPr>
        <w:t xml:space="preserve">Appendix E — Saudi Regulatory Context for Aviation EdTech</w:t>
      </w:r>
    </w:p>
    <w:p>
      <w:pPr>
        <w:spacing w:after="60" w:before="60"/>
      </w:pPr>
      <w:r>
        <w:rPr>
          <w:rFonts w:ascii="Arial" w:cs="Arial" w:eastAsia="Arial" w:hAnsi="Arial"/>
          <w:sz w:val="22"/>
          <w:szCs w:val="22"/>
        </w:rPr>
        <w:t xml:space="preserve">Fly GACA operates at the intersection of aviation regulation and digital education in the Kingdom of Saudi Arabia. The following regulatory bodies and frameworks are relevant to shareholders: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Body /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Relevance to Fly GACA</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GACA (General Authority of Civil Aviation)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Regulator whose rules (GACARs) form the Company core content library. GACA non-objection letter secured for educational-use positioning.</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MISA (Ministry of Investment)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Foreign investment licensing; Company CR filing in progress; required for Preferred Share issuance to foreign investors.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SDAIA / PDPL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 data regulator; Company PDPL-compliant with all data in me-central2 (Dammam). 72-hour breach notification implemented.</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ZATCA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Tax and zakat authority; Moyasar integration enables WPS and VAT-compliant invoicing.</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Vision 2030 NAS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National Aviation Strategy targets 330M passengers by 2030 and 53,000 new pilots by 2042 in the Middle East — the Company primary market driver.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Monsha'at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SME Authority; Company may qualify for startup support programs and Monsha'at certification.</w:t>
            </w:r>
          </w:p>
        </w:tc>
      </w:tr>
    </w:tbl>
    <w:p>
      <w:r>
        <w:br w:type="page"/>
      </w:r>
    </w:p>
    <w:p>
      <w:pPr>
        <w:pStyle w:val="Heading1"/>
        <w:spacing w:after="120" w:before="300"/>
      </w:pPr>
      <w:r>
        <w:rPr>
          <w:rFonts w:ascii="Arial" w:cs="Arial" w:eastAsia="Arial" w:hAnsi="Arial"/>
          <w:b/>
          <w:bCs/>
          <w:color w:val="2D6E8A"/>
          <w:sz w:val="28"/>
          <w:szCs w:val="28"/>
        </w:rPr>
        <w:t xml:space="preserve">Appendix F — Bridge Round Reference Terms</w:t>
      </w:r>
    </w:p>
    <w:p>
      <w:pPr>
        <w:spacing w:after="60" w:before="60"/>
      </w:pPr>
      <w:r>
        <w:rPr>
          <w:rFonts w:ascii="Arial" w:cs="Arial" w:eastAsia="Arial" w:hAnsi="Arial"/>
          <w:sz w:val="22"/>
          <w:szCs w:val="22"/>
        </w:rPr>
        <w:t xml:space="preserve">This SHA is executed in the context of the Company 3,000,000 SAR bridge / pre-Series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Round Parameter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Round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3,000,000 SAR (~USD 800K)</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Instrument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SAFE or Convertible Note (Saudi-law-friendly)</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Post-Money Valuation Cap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25,000,000 SAR (~USD 6.6M)</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Engineering &amp; AI (45%)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~1,350,000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GTM (20%)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Founder &amp; Ops Salaries (15%)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Compliance &amp; Legal (10%)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Reserve (10%)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~300,000 SAR</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Runway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 months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ARR Milestone at 18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SAR 1,800,000+</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Paying Subscribers at 18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1,500 Pro subscribers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Academy Contracts at 18 Months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paid contracts</w:t>
            </w:r>
          </w:p>
        </w:tc>
      </w:tr>
      <w:tr>
        <w:tc>
          <w:tcPr>
            <w:tcW w:type="dxa" w:w="35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Series A Target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50-80M SAR pre-money</w:t>
            </w:r>
          </w:p>
        </w:tc>
      </w:tr>
    </w:tbl>
    <w:p>
      <w:r>
        <w:br w:type="page"/>
      </w:r>
    </w:p>
    <w:p>
      <w:pPr>
        <w:pStyle w:val="Heading1"/>
        <w:spacing w:after="120" w:before="300"/>
      </w:pPr>
      <w:r>
        <w:rPr>
          <w:rFonts w:ascii="Arial" w:cs="Arial" w:eastAsia="Arial" w:hAnsi="Arial"/>
          <w:b/>
          <w:bCs/>
          <w:color w:val="2D6E8A"/>
          <w:sz w:val="28"/>
          <w:szCs w:val="28"/>
        </w:rPr>
        <w:t xml:space="preserve">Appendix G — SHA Governance Decision Matrix</w:t>
      </w:r>
    </w:p>
    <w:p>
      <w:pPr>
        <w:spacing w:after="60" w:before="60"/>
      </w:pPr>
      <w:r>
        <w:rPr>
          <w:rFonts w:ascii="Arial" w:cs="Arial" w:eastAsia="Arial" w:hAnsi="Arial"/>
          <w:sz w:val="22"/>
          <w:szCs w:val="22"/>
        </w:rPr>
        <w:t xml:space="preserve">Quick reference for day-to-day vs. reserved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tblGrid>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Decision Type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Threshold</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Day-to-day operations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Below [OPERATIONAL_LIMIT] SAR</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Hiring at &lt; 30,000 SAR/mo CTC</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Standard hire</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Vendor contracts &lt; [VENDOR_LIMIT] SAR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 contract</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New share issuance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amount</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Debt incurrence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500,000 SAR / 12 months</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Compensation &gt; 30,000 SAR/mo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 individual</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M&amp;A / asset disposal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20% total asset value</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CEO appointment / removal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Dividend declaration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Related-party transactions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Non-arm-length</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Articles amendment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r>
        <w:tc>
          <w:tcPr>
            <w:tcW w:type="dxa" w:w="3000"/>
            <w:tcBorders>
              <w:top w:val="single" w:color="CCCCCC" w:sz="1"/>
              <w:left w:val="single" w:color="CCCCCC" w:sz="1"/>
              <w:bottom w:val="single" w:color="CCCCCC" w:sz="1"/>
              <w:right w:val="single" w:color="CCCCCC" w:sz="1"/>
            </w:tcBorders>
            <w:shd w:fill="EFF7FB" w:val="clear"/>
            <w:tcMar>
              <w:top w:type="dxa" w:w="80"/>
              <w:left w:type="dxa" w:w="120"/>
              <w:bottom w:type="dxa" w:w="80"/>
              <w:right w:type="dxa" w:w="120"/>
            </w:tcMar>
          </w:tcPr>
          <w:p>
            <w:r>
              <w:rPr>
                <w:rFonts w:ascii="Arial" w:cs="Arial" w:eastAsia="Arial" w:hAnsi="Arial"/>
                <w:b/>
                <w:bCs/>
                <w:sz w:val="22"/>
                <w:szCs w:val="22"/>
              </w:rPr>
              <w:t xml:space="preserve">Winding up</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2026-05-05T01:43:55.223Z</dcterms:created>
  <dcterms:modified xsi:type="dcterms:W3CDTF">2026-05-05T01:43:55.223Z</dcterms:modified>
</cp:coreProperties>
</file>

<file path=docProps/custom.xml><?xml version="1.0" encoding="utf-8"?>
<Properties xmlns="http://schemas.openxmlformats.org/officeDocument/2006/custom-properties" xmlns:vt="http://schemas.openxmlformats.org/officeDocument/2006/docPropsVTypes"/>
</file>